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5AA3E" w14:textId="386E028D" w:rsidR="00A77B3E" w:rsidRDefault="004E2592">
      <w:pPr>
        <w:spacing w:before="200" w:line="288" w:lineRule="auto"/>
        <w:jc w:val="center"/>
        <w:rPr>
          <w:sz w:val="20"/>
        </w:rPr>
      </w:pPr>
      <w:r>
        <w:rPr>
          <w:noProof/>
        </w:rPr>
        <w:drawing>
          <wp:inline distT="0" distB="0" distL="0" distR="0" wp14:anchorId="3760586C" wp14:editId="7D837D62">
            <wp:extent cx="1793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875" cy="914400"/>
                    </a:xfrm>
                    <a:prstGeom prst="rect">
                      <a:avLst/>
                    </a:prstGeom>
                    <a:noFill/>
                    <a:ln>
                      <a:noFill/>
                    </a:ln>
                  </pic:spPr>
                </pic:pic>
              </a:graphicData>
            </a:graphic>
          </wp:inline>
        </w:drawing>
      </w:r>
    </w:p>
    <w:p w14:paraId="4A30D25B" w14:textId="77777777" w:rsidR="00A77B3E" w:rsidRDefault="004E2592">
      <w:pPr>
        <w:keepNext/>
        <w:spacing w:before="200" w:line="288" w:lineRule="auto"/>
        <w:jc w:val="center"/>
        <w:rPr>
          <w:rFonts w:ascii="Arial" w:eastAsia="Arial" w:hAnsi="Arial" w:cs="Arial"/>
          <w:b/>
          <w:sz w:val="36"/>
        </w:rPr>
      </w:pPr>
      <w:r>
        <w:rPr>
          <w:rFonts w:ascii="Arial" w:eastAsia="Arial" w:hAnsi="Arial" w:cs="Arial"/>
          <w:b/>
          <w:sz w:val="36"/>
        </w:rPr>
        <w:t>MariMed Reports First Quarter 2024 Earnings</w:t>
      </w:r>
    </w:p>
    <w:p w14:paraId="4E02D1FD" w14:textId="77777777" w:rsidR="00A77B3E" w:rsidRDefault="00A77B3E">
      <w:pPr>
        <w:keepNext/>
        <w:spacing w:before="200" w:line="288" w:lineRule="auto"/>
        <w:jc w:val="center"/>
        <w:rPr>
          <w:rFonts w:ascii="Calibri" w:eastAsia="Calibri" w:hAnsi="Calibri" w:cs="Calibri"/>
          <w:b/>
          <w:sz w:val="20"/>
        </w:rPr>
      </w:pPr>
    </w:p>
    <w:p w14:paraId="5D3EA416" w14:textId="77777777" w:rsidR="00A77B3E" w:rsidRDefault="004E2592">
      <w:pPr>
        <w:spacing w:before="200" w:line="288" w:lineRule="auto"/>
        <w:rPr>
          <w:rFonts w:ascii="Arial" w:eastAsia="Arial" w:hAnsi="Arial" w:cs="Arial"/>
          <w:sz w:val="22"/>
        </w:rPr>
      </w:pPr>
      <w:r>
        <w:rPr>
          <w:rFonts w:ascii="Arial" w:eastAsia="Arial" w:hAnsi="Arial" w:cs="Arial"/>
          <w:b/>
          <w:sz w:val="22"/>
        </w:rPr>
        <w:t>NORWOOD, MA, May 8, 2024</w:t>
      </w:r>
      <w:r>
        <w:rPr>
          <w:rFonts w:ascii="Arial" w:eastAsia="Arial" w:hAnsi="Arial" w:cs="Arial"/>
          <w:sz w:val="22"/>
        </w:rPr>
        <w:t xml:space="preserve"> - MariMed Inc. (“MariMed” or the “Company”) (CSE: MRMD) (OTCQX: MRMD), a leading multi-state cannabis operator focused on improving lives every day, today announced its financial results for the first quarter ended March 31, 2024.</w:t>
      </w:r>
    </w:p>
    <w:p w14:paraId="4729BD47" w14:textId="3BE0A2F4" w:rsidR="00A77B3E" w:rsidRDefault="004E2592">
      <w:pPr>
        <w:spacing w:before="200" w:line="288" w:lineRule="auto"/>
        <w:rPr>
          <w:rFonts w:ascii="Arial" w:eastAsia="Arial" w:hAnsi="Arial" w:cs="Arial"/>
          <w:color w:val="000000"/>
          <w:sz w:val="22"/>
          <w:shd w:val="clear" w:color="auto" w:fill="FFFFFF"/>
        </w:rPr>
      </w:pPr>
      <w:r>
        <w:rPr>
          <w:rFonts w:ascii="Arial" w:eastAsia="Arial" w:hAnsi="Arial" w:cs="Arial"/>
          <w:color w:val="000000"/>
          <w:sz w:val="22"/>
          <w:shd w:val="clear" w:color="auto" w:fill="FFFFFF"/>
        </w:rPr>
        <w:t>“With the first quarter now in the books, I’m pleased to say we are on track with our strategic plan and financial targets,” said Jon Levine, Chief Executive Officer. “The tremendous growth in our wholesale business was undoubtedly the highlight of the quarter. I am proud that once again, MariMed outperformed our competition in every market in which we operate, including Illinois. The strong revenue growth led to our 17th consecutive quarter of positive adjusted EBITDA</w:t>
      </w:r>
      <w:r w:rsidR="00E936C3">
        <w:rPr>
          <w:rFonts w:ascii="Arial" w:eastAsia="Arial" w:hAnsi="Arial" w:cs="Arial"/>
          <w:color w:val="000000"/>
          <w:sz w:val="22"/>
          <w:shd w:val="clear" w:color="auto" w:fill="FFFFFF"/>
        </w:rPr>
        <w:t>.</w:t>
      </w:r>
      <w:r>
        <w:rPr>
          <w:rFonts w:ascii="Arial" w:eastAsia="Arial" w:hAnsi="Arial" w:cs="Arial"/>
          <w:color w:val="000000"/>
          <w:sz w:val="22"/>
          <w:shd w:val="clear" w:color="auto" w:fill="FFFFFF"/>
        </w:rPr>
        <w:t>”</w:t>
      </w:r>
    </w:p>
    <w:p w14:paraId="274F2C1B" w14:textId="77777777" w:rsidR="00A77B3E" w:rsidRDefault="004E2592">
      <w:pPr>
        <w:keepNext/>
        <w:spacing w:before="200" w:line="288" w:lineRule="auto"/>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Financial Highlights</w:t>
      </w:r>
      <w:r>
        <w:rPr>
          <w:rFonts w:ascii="Arial" w:eastAsia="Arial" w:hAnsi="Arial" w:cs="Arial"/>
          <w:b/>
          <w:color w:val="000000"/>
          <w:sz w:val="22"/>
          <w:shd w:val="clear" w:color="auto" w:fill="FFFFFF"/>
          <w:vertAlign w:val="superscript"/>
        </w:rPr>
        <w:t>1</w:t>
      </w:r>
    </w:p>
    <w:p w14:paraId="235BBD16" w14:textId="77777777" w:rsidR="00A77B3E" w:rsidRDefault="004E2592">
      <w:pPr>
        <w:keepNext/>
        <w:spacing w:before="200" w:after="200" w:line="288" w:lineRule="auto"/>
        <w:rPr>
          <w:rFonts w:ascii="Arial" w:eastAsia="Arial" w:hAnsi="Arial" w:cs="Arial"/>
          <w:b/>
          <w:sz w:val="22"/>
        </w:rPr>
      </w:pPr>
      <w:r>
        <w:rPr>
          <w:rFonts w:ascii="Arial" w:eastAsia="Arial" w:hAnsi="Arial" w:cs="Arial"/>
          <w:sz w:val="22"/>
        </w:rPr>
        <w:t>The following table summarizes the Company's consolidated financial highlights (in millions, except percentage amounts):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05"/>
        <w:gridCol w:w="60"/>
        <w:gridCol w:w="1305"/>
      </w:tblGrid>
      <w:tr w:rsidR="006E60EE" w14:paraId="6B46C526" w14:textId="77777777">
        <w:trPr>
          <w:cantSplit/>
        </w:trPr>
        <w:tc>
          <w:tcPr>
            <w:tcW w:w="7230" w:type="dxa"/>
            <w:tcBorders>
              <w:top w:val="nil"/>
              <w:left w:val="nil"/>
              <w:bottom w:val="nil"/>
              <w:right w:val="nil"/>
            </w:tcBorders>
            <w:tcMar>
              <w:top w:w="0" w:type="dxa"/>
              <w:left w:w="0" w:type="dxa"/>
              <w:bottom w:w="0" w:type="dxa"/>
              <w:right w:w="0" w:type="dxa"/>
            </w:tcMar>
            <w:vAlign w:val="bottom"/>
          </w:tcPr>
          <w:p w14:paraId="1171AE17" w14:textId="77777777" w:rsidR="006E60EE" w:rsidRDefault="006E60EE">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51306B91" w14:textId="77777777" w:rsidR="006E60EE" w:rsidRDefault="004E2592">
            <w:pPr>
              <w:keepNext/>
              <w:spacing w:before="65"/>
              <w:jc w:val="center"/>
              <w:rPr>
                <w:rFonts w:ascii="Arial" w:eastAsia="Arial" w:hAnsi="Arial" w:cs="Arial"/>
                <w:b/>
                <w:sz w:val="22"/>
              </w:rPr>
            </w:pPr>
            <w:r>
              <w:rPr>
                <w:rFonts w:ascii="Arial" w:eastAsia="Arial" w:hAnsi="Arial" w:cs="Arial"/>
                <w:b/>
                <w:sz w:val="22"/>
              </w:rPr>
              <w:t xml:space="preserve">Three months ended </w:t>
            </w:r>
          </w:p>
          <w:p w14:paraId="499B70E4" w14:textId="77777777" w:rsidR="006E60EE" w:rsidRDefault="004E2592">
            <w:pPr>
              <w:spacing w:after="20"/>
              <w:jc w:val="center"/>
              <w:rPr>
                <w:rFonts w:ascii="Arial" w:eastAsia="Arial" w:hAnsi="Arial" w:cs="Arial"/>
                <w:b/>
                <w:sz w:val="22"/>
              </w:rPr>
            </w:pPr>
            <w:r>
              <w:rPr>
                <w:rFonts w:ascii="Arial" w:eastAsia="Arial" w:hAnsi="Arial" w:cs="Arial"/>
                <w:b/>
                <w:sz w:val="22"/>
              </w:rPr>
              <w:t>March 31,</w:t>
            </w:r>
          </w:p>
        </w:tc>
      </w:tr>
      <w:tr w:rsidR="006E60EE" w14:paraId="1032EB37" w14:textId="77777777">
        <w:trPr>
          <w:cantSplit/>
        </w:trPr>
        <w:tc>
          <w:tcPr>
            <w:tcW w:w="7230" w:type="dxa"/>
            <w:tcBorders>
              <w:top w:val="nil"/>
              <w:left w:val="nil"/>
              <w:bottom w:val="nil"/>
              <w:right w:val="nil"/>
            </w:tcBorders>
            <w:tcMar>
              <w:top w:w="0" w:type="dxa"/>
              <w:left w:w="0" w:type="dxa"/>
              <w:bottom w:w="0" w:type="dxa"/>
              <w:right w:w="0" w:type="dxa"/>
            </w:tcMar>
            <w:vAlign w:val="bottom"/>
          </w:tcPr>
          <w:p w14:paraId="15063958" w14:textId="77777777" w:rsidR="006E60EE" w:rsidRDefault="006E60EE">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2AD2A63C" w14:textId="77777777" w:rsidR="006E60EE" w:rsidRDefault="004E2592">
            <w:pPr>
              <w:keepNext/>
              <w:spacing w:before="45" w:after="20"/>
              <w:jc w:val="center"/>
              <w:rPr>
                <w:rFonts w:ascii="Arial" w:eastAsia="Arial" w:hAnsi="Arial" w:cs="Arial"/>
                <w:b/>
                <w:sz w:val="22"/>
              </w:rPr>
            </w:pPr>
            <w:r>
              <w:rPr>
                <w:rFonts w:ascii="Arial" w:eastAsia="Arial" w:hAnsi="Arial" w:cs="Arial"/>
                <w:b/>
                <w:sz w:val="22"/>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6E40074A" w14:textId="77777777" w:rsidR="006E60EE" w:rsidRDefault="006E60EE">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9648444" w14:textId="77777777" w:rsidR="006E60EE" w:rsidRDefault="004E2592">
            <w:pPr>
              <w:keepNext/>
              <w:spacing w:before="45" w:after="20"/>
              <w:jc w:val="center"/>
              <w:rPr>
                <w:rFonts w:ascii="Arial" w:eastAsia="Arial" w:hAnsi="Arial" w:cs="Arial"/>
                <w:b/>
                <w:sz w:val="22"/>
              </w:rPr>
            </w:pPr>
            <w:r>
              <w:rPr>
                <w:rFonts w:ascii="Arial" w:eastAsia="Arial" w:hAnsi="Arial" w:cs="Arial"/>
                <w:b/>
                <w:sz w:val="22"/>
              </w:rPr>
              <w:t>2023</w:t>
            </w:r>
          </w:p>
        </w:tc>
      </w:tr>
      <w:tr w:rsidR="006E60EE" w14:paraId="25EA41E7"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0C764D8A" w14:textId="77777777" w:rsidR="006E60EE" w:rsidRDefault="004E2592">
            <w:pPr>
              <w:keepNext/>
              <w:spacing w:before="45" w:after="20"/>
            </w:pPr>
            <w:r>
              <w:rPr>
                <w:rFonts w:ascii="Arial" w:eastAsia="Arial" w:hAnsi="Arial" w:cs="Arial"/>
                <w:color w:val="000000"/>
                <w:sz w:val="22"/>
              </w:rPr>
              <w:t>Revenue</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1894F38" w14:textId="77777777" w:rsidR="006E60EE" w:rsidRDefault="004E2592">
            <w:pPr>
              <w:keepNext/>
              <w:tabs>
                <w:tab w:val="left" w:pos="542"/>
                <w:tab w:val="left" w:pos="1237"/>
              </w:tabs>
              <w:spacing w:before="45" w:after="20"/>
              <w:jc w:val="right"/>
            </w:pPr>
            <w:r>
              <w:rPr>
                <w:rFonts w:ascii="Arial" w:eastAsia="Arial" w:hAnsi="Arial" w:cs="Arial"/>
                <w:color w:val="000000"/>
                <w:sz w:val="22"/>
              </w:rPr>
              <w:t>$</w:t>
            </w:r>
            <w:r>
              <w:rPr>
                <w:rFonts w:ascii="Arial" w:eastAsia="Arial" w:hAnsi="Arial" w:cs="Arial"/>
                <w:color w:val="000000"/>
                <w:sz w:val="22"/>
              </w:rPr>
              <w:tab/>
              <w:t>37.9</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BB0F7FF" w14:textId="77777777" w:rsidR="006E60EE" w:rsidRDefault="006E60EE">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F26FDFA" w14:textId="77777777" w:rsidR="006E60EE" w:rsidRDefault="004E2592">
            <w:pPr>
              <w:keepNext/>
              <w:tabs>
                <w:tab w:val="left" w:pos="542"/>
                <w:tab w:val="left" w:pos="1237"/>
              </w:tabs>
              <w:spacing w:before="45" w:after="20"/>
              <w:jc w:val="right"/>
            </w:pPr>
            <w:r>
              <w:rPr>
                <w:rFonts w:ascii="Arial" w:eastAsia="Arial" w:hAnsi="Arial" w:cs="Arial"/>
                <w:color w:val="000000"/>
                <w:sz w:val="22"/>
              </w:rPr>
              <w:t>$</w:t>
            </w:r>
            <w:r>
              <w:rPr>
                <w:rFonts w:ascii="Arial" w:eastAsia="Arial" w:hAnsi="Arial" w:cs="Arial"/>
                <w:color w:val="000000"/>
                <w:sz w:val="22"/>
              </w:rPr>
              <w:tab/>
              <w:t>34.4</w:t>
            </w:r>
            <w:r>
              <w:rPr>
                <w:rFonts w:ascii="Arial" w:eastAsia="Arial" w:hAnsi="Arial" w:cs="Arial"/>
                <w:color w:val="000000"/>
                <w:sz w:val="22"/>
              </w:rPr>
              <w:tab/>
            </w:r>
          </w:p>
        </w:tc>
      </w:tr>
      <w:tr w:rsidR="006E60EE" w14:paraId="2F5A323F"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26EF0BD8" w14:textId="77777777" w:rsidR="006E60EE" w:rsidRDefault="004E2592">
            <w:pPr>
              <w:keepNext/>
              <w:spacing w:before="65" w:after="20"/>
            </w:pPr>
            <w:r>
              <w:rPr>
                <w:rFonts w:ascii="Arial" w:eastAsia="Arial" w:hAnsi="Arial" w:cs="Arial"/>
                <w:color w:val="000000"/>
                <w:sz w:val="22"/>
              </w:rPr>
              <w:t>GAAP Gross margin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BA6178A" w14:textId="77777777" w:rsidR="006E60EE" w:rsidRDefault="004E2592">
            <w:pPr>
              <w:keepNext/>
              <w:tabs>
                <w:tab w:val="left" w:pos="1"/>
                <w:tab w:val="left" w:pos="513"/>
              </w:tabs>
              <w:spacing w:before="65" w:after="20"/>
              <w:jc w:val="right"/>
            </w:pPr>
            <w:r>
              <w:rPr>
                <w:rFonts w:ascii="Arial" w:eastAsia="Arial" w:hAnsi="Arial" w:cs="Arial"/>
                <w:color w:val="000000"/>
                <w:sz w:val="22"/>
              </w:rPr>
              <w:tab/>
              <w:t>43%</w:t>
            </w:r>
            <w:r>
              <w:rPr>
                <w:rFonts w:ascii="Arial" w:eastAsia="Arial" w:hAnsi="Arial" w:cs="Arial"/>
                <w:color w:val="000000"/>
                <w:sz w:val="22"/>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DE1DA34"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C7CEB43" w14:textId="77777777" w:rsidR="006E60EE" w:rsidRDefault="004E2592">
            <w:pPr>
              <w:keepNext/>
              <w:tabs>
                <w:tab w:val="left" w:pos="1"/>
                <w:tab w:val="left" w:pos="513"/>
              </w:tabs>
              <w:spacing w:before="65" w:after="20"/>
              <w:jc w:val="right"/>
            </w:pPr>
            <w:r>
              <w:rPr>
                <w:rFonts w:ascii="Arial" w:eastAsia="Arial" w:hAnsi="Arial" w:cs="Arial"/>
                <w:color w:val="000000"/>
                <w:sz w:val="22"/>
              </w:rPr>
              <w:tab/>
              <w:t>45%</w:t>
            </w:r>
            <w:r>
              <w:rPr>
                <w:rFonts w:ascii="Arial" w:eastAsia="Arial" w:hAnsi="Arial" w:cs="Arial"/>
                <w:color w:val="000000"/>
                <w:sz w:val="22"/>
              </w:rPr>
              <w:tab/>
            </w:r>
          </w:p>
        </w:tc>
      </w:tr>
      <w:tr w:rsidR="006E60EE" w14:paraId="6A3EDDBC"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32466A9D" w14:textId="77777777" w:rsidR="006E60EE" w:rsidRDefault="004E2592">
            <w:pPr>
              <w:keepNext/>
              <w:spacing w:before="65" w:after="20"/>
            </w:pPr>
            <w:r>
              <w:rPr>
                <w:rFonts w:ascii="Arial" w:eastAsia="Arial" w:hAnsi="Arial" w:cs="Arial"/>
                <w:color w:val="000000"/>
                <w:sz w:val="22"/>
              </w:rPr>
              <w:t>Non-GAAP Gross margin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274C6B3" w14:textId="77777777" w:rsidR="006E60EE" w:rsidRDefault="004E2592">
            <w:pPr>
              <w:keepNext/>
              <w:tabs>
                <w:tab w:val="left" w:pos="1"/>
                <w:tab w:val="left" w:pos="513"/>
              </w:tabs>
              <w:spacing w:before="65" w:after="20"/>
              <w:jc w:val="right"/>
            </w:pPr>
            <w:r>
              <w:rPr>
                <w:rFonts w:ascii="Arial" w:eastAsia="Arial" w:hAnsi="Arial" w:cs="Arial"/>
                <w:color w:val="000000"/>
                <w:sz w:val="22"/>
              </w:rPr>
              <w:tab/>
              <w:t>44%</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4F7ADAC"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CCE87DD" w14:textId="77777777" w:rsidR="006E60EE" w:rsidRDefault="004E2592">
            <w:pPr>
              <w:keepNext/>
              <w:tabs>
                <w:tab w:val="left" w:pos="1"/>
                <w:tab w:val="left" w:pos="513"/>
              </w:tabs>
              <w:spacing w:before="65" w:after="20"/>
              <w:jc w:val="right"/>
            </w:pPr>
            <w:r>
              <w:rPr>
                <w:rFonts w:ascii="Arial" w:eastAsia="Arial" w:hAnsi="Arial" w:cs="Arial"/>
                <w:color w:val="000000"/>
                <w:sz w:val="22"/>
              </w:rPr>
              <w:tab/>
              <w:t>46%</w:t>
            </w:r>
            <w:r>
              <w:rPr>
                <w:rFonts w:ascii="Arial" w:eastAsia="Arial" w:hAnsi="Arial" w:cs="Arial"/>
                <w:color w:val="000000"/>
                <w:sz w:val="22"/>
              </w:rPr>
              <w:tab/>
            </w:r>
          </w:p>
        </w:tc>
      </w:tr>
      <w:tr w:rsidR="006E60EE" w14:paraId="2068EF51"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08CD54D6" w14:textId="77777777" w:rsidR="006E60EE" w:rsidRDefault="004E2592">
            <w:pPr>
              <w:keepNext/>
              <w:spacing w:before="65" w:after="20"/>
              <w:rPr>
                <w:rFonts w:ascii="Arial" w:eastAsia="Arial" w:hAnsi="Arial" w:cs="Arial"/>
                <w:sz w:val="22"/>
              </w:rPr>
            </w:pPr>
            <w:r>
              <w:rPr>
                <w:rFonts w:ascii="Arial" w:eastAsia="Arial" w:hAnsi="Arial" w:cs="Arial"/>
                <w:sz w:val="22"/>
              </w:rPr>
              <w:t>GAAP Net loss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83C398F" w14:textId="77777777" w:rsidR="006E60EE" w:rsidRDefault="004E2592">
            <w:pPr>
              <w:keepNext/>
              <w:tabs>
                <w:tab w:val="left" w:pos="571"/>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(1.3)</w:t>
            </w:r>
            <w:r>
              <w:rPr>
                <w:rFonts w:ascii="Arial" w:eastAsia="Arial" w:hAnsi="Arial" w:cs="Arial"/>
                <w:color w:val="000000"/>
                <w:sz w:val="22"/>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78F60B"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083EEB2" w14:textId="77777777" w:rsidR="006E60EE" w:rsidRDefault="004E2592">
            <w:pPr>
              <w:keepNext/>
              <w:tabs>
                <w:tab w:val="left" w:pos="571"/>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(0.7)</w:t>
            </w:r>
            <w:r>
              <w:rPr>
                <w:rFonts w:ascii="Arial" w:eastAsia="Arial" w:hAnsi="Arial" w:cs="Arial"/>
                <w:color w:val="000000"/>
                <w:sz w:val="22"/>
              </w:rPr>
              <w:tab/>
            </w:r>
          </w:p>
        </w:tc>
      </w:tr>
      <w:tr w:rsidR="006E60EE" w14:paraId="00A2DECB"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4B1C94B" w14:textId="77777777" w:rsidR="006E60EE" w:rsidRDefault="004E2592">
            <w:pPr>
              <w:keepNext/>
              <w:spacing w:before="65" w:after="20"/>
              <w:rPr>
                <w:rFonts w:ascii="Arial" w:eastAsia="Arial" w:hAnsi="Arial" w:cs="Arial"/>
                <w:sz w:val="22"/>
              </w:rPr>
            </w:pPr>
            <w:r>
              <w:rPr>
                <w:rFonts w:ascii="Arial" w:eastAsia="Arial" w:hAnsi="Arial" w:cs="Arial"/>
                <w:sz w:val="22"/>
              </w:rPr>
              <w:t>Non-GAAP Net (loss)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3843E67" w14:textId="77777777" w:rsidR="006E60EE" w:rsidRDefault="004E2592">
            <w:pPr>
              <w:keepNext/>
              <w:tabs>
                <w:tab w:val="left" w:pos="571"/>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(0.6)</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35ACE82"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DB129F1" w14:textId="77777777" w:rsidR="006E60EE" w:rsidRDefault="004E2592">
            <w:pPr>
              <w:keepNext/>
              <w:tabs>
                <w:tab w:val="left" w:pos="665"/>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0.3</w:t>
            </w:r>
            <w:r>
              <w:rPr>
                <w:rFonts w:ascii="Arial" w:eastAsia="Arial" w:hAnsi="Arial" w:cs="Arial"/>
                <w:color w:val="000000"/>
                <w:sz w:val="22"/>
              </w:rPr>
              <w:tab/>
            </w:r>
          </w:p>
        </w:tc>
      </w:tr>
      <w:tr w:rsidR="006E60EE" w14:paraId="66834071"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0349B5DE" w14:textId="77777777" w:rsidR="006E60EE" w:rsidRDefault="004E2592">
            <w:pPr>
              <w:keepNext/>
              <w:spacing w:before="65" w:after="20"/>
            </w:pPr>
            <w:r>
              <w:rPr>
                <w:rFonts w:ascii="Arial" w:eastAsia="Arial" w:hAnsi="Arial" w:cs="Arial"/>
                <w:color w:val="000000"/>
                <w:sz w:val="22"/>
              </w:rPr>
              <w:t>Non-GAAP Adjusted EBITDA</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DD2A7E4" w14:textId="77777777" w:rsidR="006E60EE" w:rsidRDefault="004E2592">
            <w:pPr>
              <w:keepNext/>
              <w:tabs>
                <w:tab w:val="left" w:pos="665"/>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4.7</w:t>
            </w:r>
            <w:r>
              <w:rPr>
                <w:rFonts w:ascii="Arial" w:eastAsia="Arial" w:hAnsi="Arial" w:cs="Arial"/>
                <w:color w:val="000000"/>
                <w:sz w:val="22"/>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57FBB8A"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04A8955" w14:textId="77777777" w:rsidR="006E60EE" w:rsidRDefault="004E2592">
            <w:pPr>
              <w:keepNext/>
              <w:tabs>
                <w:tab w:val="left" w:pos="665"/>
                <w:tab w:val="left" w:pos="1237"/>
              </w:tabs>
              <w:spacing w:before="65" w:after="20"/>
              <w:jc w:val="right"/>
            </w:pPr>
            <w:r>
              <w:rPr>
                <w:rFonts w:ascii="Arial" w:eastAsia="Arial" w:hAnsi="Arial" w:cs="Arial"/>
                <w:color w:val="000000"/>
                <w:sz w:val="22"/>
              </w:rPr>
              <w:t>$</w:t>
            </w:r>
            <w:r>
              <w:rPr>
                <w:rFonts w:ascii="Arial" w:eastAsia="Arial" w:hAnsi="Arial" w:cs="Arial"/>
                <w:color w:val="000000"/>
                <w:sz w:val="22"/>
              </w:rPr>
              <w:tab/>
              <w:t>7.1</w:t>
            </w:r>
            <w:r>
              <w:rPr>
                <w:rFonts w:ascii="Arial" w:eastAsia="Arial" w:hAnsi="Arial" w:cs="Arial"/>
                <w:color w:val="000000"/>
                <w:sz w:val="22"/>
              </w:rPr>
              <w:tab/>
            </w:r>
          </w:p>
        </w:tc>
      </w:tr>
      <w:tr w:rsidR="006E60EE" w14:paraId="59FBDC7A"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544C2297" w14:textId="77777777" w:rsidR="006E60EE" w:rsidRDefault="004E2592">
            <w:pPr>
              <w:spacing w:before="65" w:after="20"/>
            </w:pPr>
            <w:r>
              <w:rPr>
                <w:rFonts w:ascii="Arial" w:eastAsia="Arial" w:hAnsi="Arial" w:cs="Arial"/>
                <w:color w:val="000000"/>
                <w:sz w:val="22"/>
              </w:rPr>
              <w:t>Non-GAAP Adjusted EBITDA margin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7D7D825" w14:textId="77777777" w:rsidR="006E60EE" w:rsidRDefault="004E2592">
            <w:pPr>
              <w:tabs>
                <w:tab w:val="left" w:pos="1"/>
                <w:tab w:val="left" w:pos="513"/>
              </w:tabs>
              <w:spacing w:before="65" w:after="20"/>
              <w:jc w:val="right"/>
            </w:pPr>
            <w:r>
              <w:rPr>
                <w:rFonts w:ascii="Arial" w:eastAsia="Arial" w:hAnsi="Arial" w:cs="Arial"/>
                <w:color w:val="000000"/>
                <w:sz w:val="22"/>
              </w:rPr>
              <w:tab/>
              <w:t>12%</w:t>
            </w:r>
            <w:r>
              <w:rPr>
                <w:rFonts w:ascii="Arial" w:eastAsia="Arial" w:hAnsi="Arial" w:cs="Arial"/>
                <w:color w:val="000000"/>
                <w:sz w:val="22"/>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E8BBC62" w14:textId="77777777" w:rsidR="006E60EE" w:rsidRDefault="006E60EE"/>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1C6FD9A" w14:textId="77777777" w:rsidR="006E60EE" w:rsidRDefault="004E2592">
            <w:pPr>
              <w:tabs>
                <w:tab w:val="left" w:pos="1"/>
                <w:tab w:val="left" w:pos="513"/>
              </w:tabs>
              <w:spacing w:before="65" w:after="20"/>
              <w:jc w:val="right"/>
            </w:pPr>
            <w:r>
              <w:rPr>
                <w:rFonts w:ascii="Arial" w:eastAsia="Arial" w:hAnsi="Arial" w:cs="Arial"/>
                <w:color w:val="000000"/>
                <w:sz w:val="22"/>
              </w:rPr>
              <w:tab/>
              <w:t>21%</w:t>
            </w:r>
            <w:r>
              <w:rPr>
                <w:rFonts w:ascii="Arial" w:eastAsia="Arial" w:hAnsi="Arial" w:cs="Arial"/>
                <w:color w:val="000000"/>
                <w:sz w:val="22"/>
              </w:rPr>
              <w:tab/>
            </w:r>
          </w:p>
        </w:tc>
      </w:tr>
    </w:tbl>
    <w:p w14:paraId="2E4624DD"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vertAlign w:val="superscript"/>
        </w:rPr>
        <w:t xml:space="preserve">1 </w:t>
      </w:r>
      <w:r>
        <w:rPr>
          <w:rFonts w:ascii="Arial" w:eastAsia="Arial" w:hAnsi="Arial" w:cs="Arial"/>
          <w:sz w:val="22"/>
        </w:rPr>
        <w:t>See the reconciliations of non-GAAP financial measures to the most directly comparable GAAP measures and additional information about non-GAAP measures in the section entitled “Discussion of Non-GAAP Financial Measures” below and in the financials information included herewith.</w:t>
      </w:r>
    </w:p>
    <w:p w14:paraId="54010561" w14:textId="77777777" w:rsidR="006E60EE" w:rsidRDefault="004E2592">
      <w:pPr>
        <w:keepNext/>
        <w:spacing w:before="200" w:line="288" w:lineRule="auto"/>
        <w:rPr>
          <w:rFonts w:ascii="Arial" w:eastAsia="Arial" w:hAnsi="Arial" w:cs="Arial"/>
          <w:b/>
          <w:color w:val="000000"/>
          <w:sz w:val="22"/>
          <w:shd w:val="clear" w:color="auto" w:fill="FFFFFF"/>
          <w:vertAlign w:val="superscript"/>
        </w:rPr>
      </w:pPr>
      <w:r>
        <w:rPr>
          <w:rFonts w:ascii="Arial" w:eastAsia="Arial" w:hAnsi="Arial" w:cs="Arial"/>
          <w:b/>
          <w:sz w:val="22"/>
        </w:rPr>
        <w:t>CONFERENCE CALL</w:t>
      </w:r>
    </w:p>
    <w:p w14:paraId="463844F0" w14:textId="5973C839" w:rsidR="006E60EE" w:rsidRDefault="004E2592">
      <w:pPr>
        <w:spacing w:before="200" w:line="288" w:lineRule="auto"/>
        <w:rPr>
          <w:rFonts w:ascii="Arial" w:eastAsia="Arial" w:hAnsi="Arial" w:cs="Arial"/>
          <w:sz w:val="22"/>
          <w:vertAlign w:val="superscript"/>
        </w:rPr>
      </w:pPr>
      <w:r>
        <w:rPr>
          <w:rFonts w:ascii="Arial" w:eastAsia="Arial" w:hAnsi="Arial" w:cs="Arial"/>
          <w:sz w:val="22"/>
        </w:rPr>
        <w:t xml:space="preserve">MariMed management will host a conference call on </w:t>
      </w:r>
      <w:r>
        <w:rPr>
          <w:rFonts w:ascii="Arial" w:eastAsia="Arial" w:hAnsi="Arial" w:cs="Arial"/>
          <w:color w:val="000000"/>
          <w:sz w:val="22"/>
          <w:shd w:val="clear" w:color="auto" w:fill="FFFFFF"/>
        </w:rPr>
        <w:t>Thursday, May 9, 2024 at 8:00 a.m. Eastern time,</w:t>
      </w:r>
      <w:r>
        <w:rPr>
          <w:rFonts w:ascii="Arial" w:eastAsia="Arial" w:hAnsi="Arial" w:cs="Arial"/>
          <w:sz w:val="22"/>
        </w:rPr>
        <w:t xml:space="preserve"> to discuss these results. The conference call may be accessed through MariMed’s Investor Relations website, or by clicking the following lin</w:t>
      </w:r>
      <w:r>
        <w:rPr>
          <w:rFonts w:ascii="Arial" w:eastAsia="Arial" w:hAnsi="Arial" w:cs="Arial"/>
          <w:color w:val="000000"/>
          <w:sz w:val="22"/>
          <w:shd w:val="clear" w:color="auto" w:fill="FFFFFF"/>
        </w:rPr>
        <w:t xml:space="preserve">k: </w:t>
      </w:r>
      <w:hyperlink r:id="rId11" w:history="1">
        <w:r w:rsidR="00E936C3">
          <w:rPr>
            <w:rStyle w:val="Hyperlink"/>
            <w:rFonts w:ascii="Arial" w:eastAsia="Arial" w:hAnsi="Arial" w:cs="Arial"/>
            <w:sz w:val="22"/>
            <w:shd w:val="clear" w:color="auto" w:fill="FFFFFF"/>
          </w:rPr>
          <w:t xml:space="preserve">MRMD Q124 </w:t>
        </w:r>
        <w:r w:rsidR="00E936C3">
          <w:rPr>
            <w:rStyle w:val="Hyperlink"/>
            <w:rFonts w:ascii="Arial" w:eastAsia="Arial" w:hAnsi="Arial" w:cs="Arial"/>
            <w:sz w:val="22"/>
            <w:shd w:val="clear" w:color="auto" w:fill="FFFFFF"/>
          </w:rPr>
          <w:t>Earnings Webcast</w:t>
        </w:r>
      </w:hyperlink>
      <w:r>
        <w:rPr>
          <w:rFonts w:ascii="Arial" w:eastAsia="Arial" w:hAnsi="Arial" w:cs="Arial"/>
          <w:color w:val="000000"/>
          <w:sz w:val="22"/>
          <w:shd w:val="clear" w:color="auto" w:fill="FFFFFF"/>
        </w:rPr>
        <w:t>.</w:t>
      </w:r>
    </w:p>
    <w:p w14:paraId="77B977D6" w14:textId="77777777" w:rsidR="006E60EE" w:rsidRDefault="004E2592">
      <w:pPr>
        <w:keepNext/>
        <w:spacing w:before="200" w:line="288" w:lineRule="auto"/>
        <w:rPr>
          <w:rFonts w:ascii="Arial" w:eastAsia="Arial" w:hAnsi="Arial" w:cs="Arial"/>
          <w:b/>
          <w:sz w:val="22"/>
          <w:vertAlign w:val="superscript"/>
        </w:rPr>
      </w:pPr>
      <w:r>
        <w:rPr>
          <w:rFonts w:ascii="Arial" w:eastAsia="Arial" w:hAnsi="Arial" w:cs="Arial"/>
          <w:b/>
          <w:sz w:val="22"/>
        </w:rPr>
        <w:lastRenderedPageBreak/>
        <w:t>FIRST QUARTER 2024 OPERATIONAL HIGHLIGHTS</w:t>
      </w:r>
    </w:p>
    <w:p w14:paraId="213745FA" w14:textId="77777777" w:rsidR="006E60EE" w:rsidRDefault="004E2592">
      <w:pPr>
        <w:keepNext/>
        <w:spacing w:before="200" w:line="288" w:lineRule="auto"/>
        <w:rPr>
          <w:rFonts w:ascii="Arial" w:eastAsia="Arial" w:hAnsi="Arial" w:cs="Arial"/>
          <w:b/>
          <w:sz w:val="22"/>
          <w:vertAlign w:val="superscript"/>
        </w:rPr>
      </w:pPr>
      <w:r>
        <w:rPr>
          <w:rFonts w:ascii="Arial" w:eastAsia="Arial" w:hAnsi="Arial" w:cs="Arial"/>
          <w:sz w:val="22"/>
        </w:rPr>
        <w:t>During the first quarter, the Company announced the following developments in the implementation of its strategic growth plan:</w:t>
      </w:r>
    </w:p>
    <w:p w14:paraId="60845DC3" w14:textId="77777777" w:rsidR="006E60EE" w:rsidRDefault="004E2592">
      <w:pPr>
        <w:numPr>
          <w:ilvl w:val="0"/>
          <w:numId w:val="14"/>
        </w:numPr>
        <w:spacing w:before="200" w:line="288" w:lineRule="auto"/>
        <w:ind w:left="360"/>
        <w:rPr>
          <w:rFonts w:ascii="Arial" w:eastAsia="Arial" w:hAnsi="Arial" w:cs="Arial"/>
          <w:b/>
          <w:color w:val="000000"/>
          <w:sz w:val="22"/>
          <w:shd w:val="clear" w:color="auto" w:fill="FFFFFF"/>
        </w:rPr>
      </w:pPr>
      <w:r>
        <w:rPr>
          <w:rFonts w:ascii="Arial" w:eastAsia="Arial" w:hAnsi="Arial" w:cs="Arial"/>
          <w:b/>
          <w:color w:val="000000"/>
          <w:sz w:val="22"/>
          <w:shd w:val="clear" w:color="auto" w:fill="FFFFFF"/>
        </w:rPr>
        <w:t>January 2</w:t>
      </w:r>
      <w:r>
        <w:rPr>
          <w:rFonts w:ascii="Arial" w:eastAsia="Arial" w:hAnsi="Arial" w:cs="Arial"/>
          <w:color w:val="000000"/>
          <w:sz w:val="22"/>
          <w:shd w:val="clear" w:color="auto" w:fill="FFFFFF"/>
        </w:rPr>
        <w:t>: MariMed began selling its award-winning branded products through the Company's new wholesale business in Illinois. MariMed's brands, including Betty's Eddies, Bubby's Baked, Vibations, and InHouse are now widely available in 135 dispensaries throughout the state.</w:t>
      </w:r>
    </w:p>
    <w:p w14:paraId="510DE8CA" w14:textId="77777777" w:rsidR="006E60EE" w:rsidRDefault="004E2592">
      <w:pPr>
        <w:numPr>
          <w:ilvl w:val="0"/>
          <w:numId w:val="15"/>
        </w:numPr>
        <w:spacing w:before="200" w:line="288" w:lineRule="auto"/>
        <w:ind w:left="360"/>
        <w:rPr>
          <w:rFonts w:ascii="Arial" w:eastAsia="Arial" w:hAnsi="Arial" w:cs="Arial"/>
          <w:b/>
          <w:color w:val="000000"/>
          <w:sz w:val="22"/>
          <w:shd w:val="clear" w:color="auto" w:fill="FFFFFF"/>
        </w:rPr>
      </w:pPr>
      <w:r>
        <w:rPr>
          <w:rFonts w:ascii="Arial" w:eastAsia="Arial" w:hAnsi="Arial" w:cs="Arial"/>
          <w:b/>
          <w:color w:val="000000"/>
          <w:sz w:val="22"/>
          <w:shd w:val="clear" w:color="auto" w:fill="FFFFFF"/>
        </w:rPr>
        <w:t>February 26</w:t>
      </w:r>
      <w:r>
        <w:rPr>
          <w:rFonts w:ascii="Arial" w:eastAsia="Arial" w:hAnsi="Arial" w:cs="Arial"/>
          <w:color w:val="000000"/>
          <w:sz w:val="22"/>
          <w:shd w:val="clear" w:color="auto" w:fill="FFFFFF"/>
        </w:rPr>
        <w:t>: Thrive Dispensary Casey, the adult-use dispensary MariMed managed since opening in Fall 2023, received its Certificate of Occupancy from the Illinois Cannabis Control Commission to commence operations in its permanent brick-and-mortar facility. The Company subsequently transitioned from its temporary facility and commenced operations in the new facility in March 2024.</w:t>
      </w:r>
    </w:p>
    <w:p w14:paraId="1DA87D41" w14:textId="77777777" w:rsidR="006E60EE" w:rsidRDefault="004E2592">
      <w:pPr>
        <w:numPr>
          <w:ilvl w:val="0"/>
          <w:numId w:val="16"/>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March 6</w:t>
      </w:r>
      <w:r>
        <w:rPr>
          <w:rFonts w:ascii="Arial" w:eastAsia="Arial" w:hAnsi="Arial" w:cs="Arial"/>
          <w:color w:val="000000"/>
          <w:sz w:val="22"/>
          <w:shd w:val="clear" w:color="auto" w:fill="FFFFFF"/>
        </w:rPr>
        <w:t>: MariMed announced the expansion of its Maryland footprint with the acquisition of its second dispensary in the state. On February 1, the Company entered into a definitive agreement to acquire the operating assets of Our Community Wellness &amp; Compassionate Care Center, Inc, a medical licensed dispensary operator. The Company subsequently announced the closing of the acquisition on April 9, and plans to open the dispensary, which is located in Upper Marlboro, and commence adult-use sales upon regulatory approval.</w:t>
      </w:r>
    </w:p>
    <w:p w14:paraId="63D9E15B" w14:textId="77777777" w:rsidR="006E60EE" w:rsidRDefault="004E2592">
      <w:pPr>
        <w:keepNext/>
        <w:spacing w:before="200" w:line="288" w:lineRule="auto"/>
        <w:rPr>
          <w:rFonts w:ascii="Arial" w:eastAsia="Arial" w:hAnsi="Arial" w:cs="Arial"/>
          <w:color w:val="000000"/>
          <w:sz w:val="22"/>
          <w:shd w:val="clear" w:color="auto" w:fill="FFFFFF"/>
          <w:vertAlign w:val="superscript"/>
        </w:rPr>
      </w:pPr>
      <w:r>
        <w:rPr>
          <w:rFonts w:ascii="Arial" w:eastAsia="Arial" w:hAnsi="Arial" w:cs="Arial"/>
          <w:b/>
          <w:color w:val="000000"/>
          <w:sz w:val="22"/>
          <w:shd w:val="clear" w:color="auto" w:fill="FFFFFF"/>
        </w:rPr>
        <w:t>OTHER DEVELOPMENTS</w:t>
      </w:r>
    </w:p>
    <w:p w14:paraId="38A7497C" w14:textId="77777777" w:rsidR="006E60EE" w:rsidRDefault="004E2592">
      <w:pPr>
        <w:keepNext/>
        <w:spacing w:before="200" w:line="288" w:lineRule="auto"/>
        <w:rPr>
          <w:rFonts w:ascii="Arial" w:eastAsia="Arial" w:hAnsi="Arial" w:cs="Arial"/>
          <w:sz w:val="22"/>
          <w:vertAlign w:val="superscript"/>
        </w:rPr>
      </w:pPr>
      <w:r>
        <w:rPr>
          <w:rFonts w:ascii="Arial" w:eastAsia="Arial" w:hAnsi="Arial" w:cs="Arial"/>
          <w:sz w:val="22"/>
        </w:rPr>
        <w:t>Subsequent to the end of the first quarter, the Company announced the followin</w:t>
      </w:r>
      <w:r>
        <w:rPr>
          <w:rFonts w:ascii="Arial" w:eastAsia="Arial" w:hAnsi="Arial" w:cs="Arial"/>
          <w:color w:val="000000"/>
          <w:sz w:val="22"/>
          <w:shd w:val="clear" w:color="auto" w:fill="FFFFFF"/>
        </w:rPr>
        <w:t>g further developments:</w:t>
      </w:r>
    </w:p>
    <w:p w14:paraId="04BAE355" w14:textId="77777777" w:rsidR="006E60EE" w:rsidRDefault="004E2592">
      <w:pPr>
        <w:keepNext/>
        <w:numPr>
          <w:ilvl w:val="0"/>
          <w:numId w:val="17"/>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April 10</w:t>
      </w:r>
      <w:r>
        <w:rPr>
          <w:rFonts w:ascii="Arial" w:eastAsia="Arial" w:hAnsi="Arial" w:cs="Arial"/>
          <w:color w:val="000000"/>
          <w:sz w:val="22"/>
          <w:shd w:val="clear" w:color="auto" w:fill="FFFFFF"/>
        </w:rPr>
        <w:t xml:space="preserve">: MariMed announced a partnership with two iconic Boston music venues, MGM Music Hall Fenway and Citizens House of Blues Boston. This groundbreaking partnership positions </w:t>
      </w:r>
      <w:r>
        <w:rPr>
          <w:rFonts w:ascii="Arial" w:eastAsia="Arial" w:hAnsi="Arial" w:cs="Arial"/>
          <w:i/>
          <w:color w:val="000000"/>
          <w:sz w:val="22"/>
          <w:shd w:val="clear" w:color="auto" w:fill="FFFFFF"/>
        </w:rPr>
        <w:t>Nature’s Heritage</w:t>
      </w:r>
      <w:r>
        <w:rPr>
          <w:rFonts w:ascii="Arial" w:eastAsia="Arial" w:hAnsi="Arial" w:cs="Arial"/>
          <w:color w:val="000000"/>
          <w:sz w:val="22"/>
          <w:shd w:val="clear" w:color="auto" w:fill="FFFFFF"/>
        </w:rPr>
        <w:t xml:space="preserve"> as the exclusive cannabis sponsor at each venue. The brand will receive over one million consumer impressions resulting from onsite fan experiences, in-venue advertising, and digital advertising. </w:t>
      </w:r>
    </w:p>
    <w:p w14:paraId="10AFD9B9" w14:textId="77777777" w:rsidR="006E60EE" w:rsidRDefault="004E2592">
      <w:pPr>
        <w:keepNext/>
        <w:numPr>
          <w:ilvl w:val="0"/>
          <w:numId w:val="18"/>
        </w:numPr>
        <w:spacing w:before="200" w:line="288" w:lineRule="auto"/>
        <w:ind w:left="360"/>
        <w:rPr>
          <w:rFonts w:ascii="Arial" w:eastAsia="Arial" w:hAnsi="Arial" w:cs="Arial"/>
          <w:color w:val="000000"/>
          <w:sz w:val="22"/>
          <w:shd w:val="clear" w:color="auto" w:fill="FFFFFF"/>
        </w:rPr>
      </w:pPr>
      <w:r>
        <w:rPr>
          <w:rFonts w:ascii="Arial" w:eastAsia="Arial" w:hAnsi="Arial" w:cs="Arial"/>
          <w:b/>
          <w:color w:val="000000"/>
          <w:sz w:val="22"/>
          <w:shd w:val="clear" w:color="auto" w:fill="FFFFFF"/>
        </w:rPr>
        <w:t>April 11</w:t>
      </w:r>
      <w:r>
        <w:rPr>
          <w:rFonts w:ascii="Arial" w:eastAsia="Arial" w:hAnsi="Arial" w:cs="Arial"/>
          <w:color w:val="000000"/>
          <w:sz w:val="22"/>
          <w:shd w:val="clear" w:color="auto" w:fill="FFFFFF"/>
        </w:rPr>
        <w:t>: MariMed announced the closing of its acquisition of Thrive Dispensary in Casey, Illinois. The approval of the license transfer by the Illinois Department of Financial &amp; Professional Regulation, and subsequent closing of the acquisition, allows MariMed to fully consolidate the financial results of this dispensary, which had previously been operated under a Managed Services Agreement.</w:t>
      </w:r>
    </w:p>
    <w:p w14:paraId="45403745" w14:textId="77777777" w:rsidR="006E60EE" w:rsidRDefault="004E2592">
      <w:pPr>
        <w:keepNext/>
        <w:spacing w:before="200" w:line="288" w:lineRule="auto"/>
        <w:rPr>
          <w:rFonts w:ascii="Arial" w:eastAsia="Arial" w:hAnsi="Arial" w:cs="Arial"/>
          <w:color w:val="000000"/>
          <w:sz w:val="22"/>
          <w:shd w:val="clear" w:color="auto" w:fill="FFFFFF"/>
          <w:vertAlign w:val="superscript"/>
        </w:rPr>
      </w:pPr>
      <w:r>
        <w:rPr>
          <w:rFonts w:ascii="Arial" w:eastAsia="Arial" w:hAnsi="Arial" w:cs="Arial"/>
          <w:b/>
          <w:color w:val="000000"/>
          <w:sz w:val="22"/>
          <w:shd w:val="clear" w:color="auto" w:fill="FFFFFF"/>
        </w:rPr>
        <w:t>2024 FINANCIAL GUIDANCE</w:t>
      </w:r>
    </w:p>
    <w:p w14:paraId="4B951A39" w14:textId="77777777" w:rsidR="006E60EE" w:rsidRDefault="004E2592">
      <w:pPr>
        <w:keepNext/>
        <w:spacing w:before="200" w:line="288" w:lineRule="auto"/>
        <w:rPr>
          <w:rFonts w:ascii="Arial" w:eastAsia="Arial" w:hAnsi="Arial" w:cs="Arial"/>
          <w:b/>
          <w:color w:val="000000"/>
          <w:sz w:val="22"/>
          <w:shd w:val="clear" w:color="auto" w:fill="FFFF00"/>
          <w:vertAlign w:val="superscript"/>
        </w:rPr>
      </w:pPr>
      <w:r>
        <w:rPr>
          <w:rFonts w:ascii="Arial" w:eastAsia="Arial" w:hAnsi="Arial" w:cs="Arial"/>
          <w:sz w:val="22"/>
        </w:rPr>
        <w:t>MariMed's full year 2024 financial targets are based on organic growth of its existing operating assets and do not include new revenue-generating projects requiring regulatory approvals. The Company believes this conservative approach to offering financial targets allows investors and analysts to focus on key operating milestones versus discussions around issues outside the Company's control.  As such, the Company's full year 2024 financial targets remain at:</w:t>
      </w:r>
    </w:p>
    <w:p w14:paraId="321BD37A" w14:textId="77777777" w:rsidR="006E60EE" w:rsidRDefault="004E2592">
      <w:pPr>
        <w:numPr>
          <w:ilvl w:val="0"/>
          <w:numId w:val="19"/>
        </w:numPr>
        <w:spacing w:before="200"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Revenue growth of 5% to 7%;</w:t>
      </w:r>
    </w:p>
    <w:p w14:paraId="708CAFD5" w14:textId="77777777" w:rsidR="006E60EE" w:rsidRDefault="004E2592">
      <w:pPr>
        <w:numPr>
          <w:ilvl w:val="0"/>
          <w:numId w:val="20"/>
        </w:numPr>
        <w:spacing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Non-GAAP Adjusted EBITDA growth of 0% to 2%;</w:t>
      </w:r>
    </w:p>
    <w:p w14:paraId="60426747" w14:textId="77777777" w:rsidR="006E60EE" w:rsidRDefault="004E2592">
      <w:pPr>
        <w:numPr>
          <w:ilvl w:val="0"/>
          <w:numId w:val="21"/>
        </w:numPr>
        <w:spacing w:line="288" w:lineRule="auto"/>
        <w:ind w:left="360"/>
        <w:rPr>
          <w:rFonts w:ascii="Arial" w:eastAsia="Arial" w:hAnsi="Arial" w:cs="Arial"/>
          <w:color w:val="000000"/>
          <w:sz w:val="22"/>
          <w:shd w:val="clear" w:color="auto" w:fill="FFFFFF"/>
        </w:rPr>
      </w:pPr>
      <w:r>
        <w:rPr>
          <w:rFonts w:ascii="Arial" w:eastAsia="Arial" w:hAnsi="Arial" w:cs="Arial"/>
          <w:color w:val="000000"/>
          <w:sz w:val="22"/>
          <w:shd w:val="clear" w:color="auto" w:fill="FFFFFF"/>
        </w:rPr>
        <w:t>Capital expenditures of $10 million.</w:t>
      </w:r>
    </w:p>
    <w:p w14:paraId="6E80F405" w14:textId="77777777" w:rsidR="006E60EE" w:rsidRDefault="004E2592">
      <w:pPr>
        <w:keepNext/>
        <w:spacing w:before="200" w:line="288" w:lineRule="auto"/>
        <w:rPr>
          <w:rFonts w:ascii="Arial" w:eastAsia="Arial" w:hAnsi="Arial" w:cs="Arial"/>
          <w:b/>
          <w:color w:val="000000"/>
          <w:sz w:val="22"/>
          <w:shd w:val="clear" w:color="auto" w:fill="FFFFFF"/>
          <w:vertAlign w:val="superscript"/>
        </w:rPr>
      </w:pPr>
      <w:r>
        <w:rPr>
          <w:rFonts w:ascii="Arial" w:eastAsia="Arial" w:hAnsi="Arial" w:cs="Arial"/>
          <w:b/>
          <w:color w:val="000000"/>
          <w:sz w:val="22"/>
          <w:shd w:val="clear" w:color="auto" w:fill="FFFFFF"/>
        </w:rPr>
        <w:lastRenderedPageBreak/>
        <w:t>DISCUSSION OF NON-GAAP FINANCIAL MEASURES</w:t>
      </w:r>
    </w:p>
    <w:p w14:paraId="641E4CDD"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rPr>
        <w:t>MariMed’s management uses several different financial measures, both GAAP and non-GAAP, in analyzing and assessing the overall performance of its business, making operating decisions, and planning and forecasting future periods. The Company has provided in this release several non-GAAP financial measures: Non-GAAP Gross margin, Non-GAAP Net income (loss), Non-GAAP Adjusted EBITDA and non-GAAP Adjusted EBITDA margin, as supplements to Revenue, Gross margin, Net income (loss) and other financial measures prepared in accordance with GAAP.</w:t>
      </w:r>
    </w:p>
    <w:p w14:paraId="7977AD99"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rPr>
        <w:t>Management believes these non-GAAP financial measures are useful in reviewing and assessing the performance of the Company, and when planning and forecasting future periods, as they provide meaningful operating results by excluding the effects of expenses that are not reflective of its operating business performance. In addition, the Company’s management uses these non-GAAP financial measures to understand and compare operating results across accounting periods and for financial and operational decision-making. The presentation of these non-GAAP measures is not intended to be considered in isolation or as a substitute for the financial information prepared in accordance with GAAP.</w:t>
      </w:r>
    </w:p>
    <w:p w14:paraId="7F4BB553"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rPr>
        <w:t>Management believes that investors and analysts benefit from considering non-GAAP financial measures in assessing the Company’s financial results and its ongoing business, as it allows for meaningful comparisons and analysis of trends in the business. In particular, non-GAAP adjusted EBITDA is used by many investors and analysts themselves, along with other metrics, to compare financial results across accounting periods and to those of peer companies.</w:t>
      </w:r>
    </w:p>
    <w:p w14:paraId="16781CFA"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rPr>
        <w:t>As there are no standardized methods of calculating non-GAAP financial measures, the Company’s calculations may differ from those used by analysts, investors and other companies, even those within the cannabis industry, and therefore may not be directly comparable to similarly titled measures used by others.</w:t>
      </w:r>
    </w:p>
    <w:p w14:paraId="18FC64FC" w14:textId="77777777" w:rsidR="006E60EE" w:rsidRDefault="004E2592">
      <w:pPr>
        <w:keepNext/>
        <w:spacing w:before="200" w:line="288" w:lineRule="auto"/>
        <w:rPr>
          <w:rFonts w:ascii="Arial" w:eastAsia="Arial" w:hAnsi="Arial" w:cs="Arial"/>
          <w:sz w:val="22"/>
          <w:vertAlign w:val="superscript"/>
        </w:rPr>
      </w:pPr>
      <w:r>
        <w:rPr>
          <w:rFonts w:ascii="Arial" w:eastAsia="Arial" w:hAnsi="Arial" w:cs="Arial"/>
          <w:sz w:val="22"/>
        </w:rPr>
        <w:t>Management defines non-GAAP Adjusted EBITDA as income (loss) from operations, determined in accordance with GAAP, excluding the following items:</w:t>
      </w:r>
    </w:p>
    <w:p w14:paraId="25BAD9EF" w14:textId="77777777" w:rsidR="006E60EE" w:rsidRDefault="006E60EE">
      <w:pPr>
        <w:keepNext/>
        <w:spacing w:line="288" w:lineRule="auto"/>
        <w:rPr>
          <w:rFonts w:ascii="Arial" w:eastAsia="Arial" w:hAnsi="Arial" w:cs="Arial"/>
          <w:sz w:val="22"/>
          <w:vertAlign w:val="superscript"/>
        </w:rPr>
      </w:pPr>
    </w:p>
    <w:p w14:paraId="0C477D1F" w14:textId="77777777" w:rsidR="006E60EE" w:rsidRDefault="004E2592">
      <w:pPr>
        <w:numPr>
          <w:ilvl w:val="0"/>
          <w:numId w:val="22"/>
        </w:numPr>
        <w:spacing w:line="288" w:lineRule="auto"/>
        <w:ind w:left="360"/>
        <w:rPr>
          <w:rFonts w:ascii="Arial" w:eastAsia="Arial" w:hAnsi="Arial" w:cs="Arial"/>
          <w:sz w:val="22"/>
        </w:rPr>
      </w:pPr>
      <w:r>
        <w:rPr>
          <w:rFonts w:ascii="Arial" w:eastAsia="Arial" w:hAnsi="Arial" w:cs="Arial"/>
          <w:sz w:val="22"/>
        </w:rPr>
        <w:t>depreciation of fixed assets;</w:t>
      </w:r>
    </w:p>
    <w:p w14:paraId="2D97B2D4" w14:textId="77777777" w:rsidR="006E60EE" w:rsidRDefault="004E2592">
      <w:pPr>
        <w:numPr>
          <w:ilvl w:val="0"/>
          <w:numId w:val="23"/>
        </w:numPr>
        <w:spacing w:line="288" w:lineRule="auto"/>
        <w:ind w:left="360"/>
        <w:rPr>
          <w:rFonts w:ascii="Arial" w:eastAsia="Arial" w:hAnsi="Arial" w:cs="Arial"/>
          <w:sz w:val="22"/>
        </w:rPr>
      </w:pPr>
      <w:r>
        <w:rPr>
          <w:rFonts w:ascii="Arial" w:eastAsia="Arial" w:hAnsi="Arial" w:cs="Arial"/>
          <w:sz w:val="22"/>
        </w:rPr>
        <w:t>amortization of acquired intangible assets;</w:t>
      </w:r>
    </w:p>
    <w:p w14:paraId="2FB43B12" w14:textId="77777777" w:rsidR="006E60EE" w:rsidRDefault="004E2592">
      <w:pPr>
        <w:numPr>
          <w:ilvl w:val="0"/>
          <w:numId w:val="24"/>
        </w:numPr>
        <w:spacing w:line="288" w:lineRule="auto"/>
        <w:ind w:left="360"/>
        <w:rPr>
          <w:rFonts w:ascii="Arial" w:eastAsia="Arial" w:hAnsi="Arial" w:cs="Arial"/>
          <w:sz w:val="22"/>
        </w:rPr>
      </w:pPr>
      <w:r>
        <w:rPr>
          <w:rFonts w:ascii="Arial" w:eastAsia="Arial" w:hAnsi="Arial" w:cs="Arial"/>
          <w:sz w:val="22"/>
        </w:rPr>
        <w:t>Impairment or write-downs of intangible assets;</w:t>
      </w:r>
    </w:p>
    <w:p w14:paraId="304AE307" w14:textId="77777777" w:rsidR="006E60EE" w:rsidRDefault="004E2592">
      <w:pPr>
        <w:numPr>
          <w:ilvl w:val="0"/>
          <w:numId w:val="25"/>
        </w:numPr>
        <w:spacing w:line="288" w:lineRule="auto"/>
        <w:ind w:left="360"/>
        <w:rPr>
          <w:rFonts w:ascii="Arial" w:eastAsia="Arial" w:hAnsi="Arial" w:cs="Arial"/>
          <w:sz w:val="22"/>
        </w:rPr>
      </w:pPr>
      <w:r>
        <w:rPr>
          <w:rFonts w:ascii="Arial" w:eastAsia="Arial" w:hAnsi="Arial" w:cs="Arial"/>
          <w:sz w:val="22"/>
        </w:rPr>
        <w:t>stock-based compensation;</w:t>
      </w:r>
    </w:p>
    <w:p w14:paraId="43F453F1" w14:textId="77777777" w:rsidR="006E60EE" w:rsidRDefault="004E2592">
      <w:pPr>
        <w:numPr>
          <w:ilvl w:val="0"/>
          <w:numId w:val="26"/>
        </w:numPr>
        <w:spacing w:line="288" w:lineRule="auto"/>
        <w:ind w:left="360"/>
        <w:rPr>
          <w:rFonts w:ascii="Arial" w:eastAsia="Arial" w:hAnsi="Arial" w:cs="Arial"/>
          <w:sz w:val="22"/>
        </w:rPr>
      </w:pPr>
      <w:r>
        <w:rPr>
          <w:rFonts w:ascii="Arial" w:eastAsia="Arial" w:hAnsi="Arial" w:cs="Arial"/>
          <w:sz w:val="22"/>
        </w:rPr>
        <w:t>legal settlements; and</w:t>
      </w:r>
    </w:p>
    <w:p w14:paraId="0F451A92" w14:textId="77777777" w:rsidR="006E60EE" w:rsidRDefault="004E2592">
      <w:pPr>
        <w:numPr>
          <w:ilvl w:val="0"/>
          <w:numId w:val="27"/>
        </w:numPr>
        <w:spacing w:line="288" w:lineRule="auto"/>
        <w:ind w:left="360"/>
        <w:rPr>
          <w:rFonts w:ascii="Arial" w:eastAsia="Arial" w:hAnsi="Arial" w:cs="Arial"/>
          <w:sz w:val="22"/>
        </w:rPr>
      </w:pPr>
      <w:r>
        <w:rPr>
          <w:rFonts w:ascii="Arial" w:eastAsia="Arial" w:hAnsi="Arial" w:cs="Arial"/>
          <w:sz w:val="22"/>
        </w:rPr>
        <w:t>acquisition-related and other expenses.</w:t>
      </w:r>
    </w:p>
    <w:p w14:paraId="69191A98" w14:textId="77777777" w:rsidR="006E60EE" w:rsidRDefault="004E2592">
      <w:pPr>
        <w:spacing w:before="200" w:line="288" w:lineRule="auto"/>
        <w:rPr>
          <w:rFonts w:ascii="Calibri" w:eastAsia="Calibri" w:hAnsi="Calibri" w:cs="Calibri"/>
          <w:sz w:val="22"/>
          <w:vertAlign w:val="superscript"/>
        </w:rPr>
      </w:pPr>
      <w:r>
        <w:rPr>
          <w:rFonts w:ascii="Arial" w:eastAsia="Arial" w:hAnsi="Arial" w:cs="Arial"/>
          <w:sz w:val="22"/>
        </w:rPr>
        <w:t>For further information, please refer to the publicly available financial filings available on MariMed's Investor Relations website, as filed with the U.S. Securities and Exchange Commission, or as filed with the Canadian securities regulatory authorities on the SEDAR website.</w:t>
      </w:r>
    </w:p>
    <w:p w14:paraId="031E24F8" w14:textId="77777777" w:rsidR="006E60EE" w:rsidRDefault="004E2592">
      <w:pPr>
        <w:keepNext/>
        <w:spacing w:before="200" w:line="288" w:lineRule="auto"/>
        <w:rPr>
          <w:rFonts w:ascii="Arial" w:eastAsia="Arial" w:hAnsi="Arial" w:cs="Arial"/>
          <w:sz w:val="22"/>
          <w:vertAlign w:val="superscript"/>
        </w:rPr>
      </w:pPr>
      <w:r>
        <w:rPr>
          <w:rFonts w:ascii="Arial" w:eastAsia="Arial" w:hAnsi="Arial" w:cs="Arial"/>
          <w:b/>
          <w:sz w:val="22"/>
        </w:rPr>
        <w:t>ABOUT MARIMED</w:t>
      </w:r>
    </w:p>
    <w:p w14:paraId="367CF937" w14:textId="77777777" w:rsidR="006E60EE" w:rsidRDefault="004E2592">
      <w:pPr>
        <w:spacing w:before="200" w:line="288" w:lineRule="auto"/>
        <w:rPr>
          <w:rFonts w:ascii="Arial" w:eastAsia="Arial" w:hAnsi="Arial" w:cs="Arial"/>
          <w:sz w:val="22"/>
          <w:vertAlign w:val="superscript"/>
        </w:rPr>
      </w:pPr>
      <w:r>
        <w:rPr>
          <w:rFonts w:ascii="Arial" w:eastAsia="Arial" w:hAnsi="Arial" w:cs="Arial"/>
          <w:sz w:val="22"/>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w:t>
      </w:r>
      <w:r>
        <w:rPr>
          <w:rFonts w:ascii="Arial" w:eastAsia="Arial" w:hAnsi="Arial" w:cs="Arial"/>
          <w:sz w:val="22"/>
        </w:rPr>
        <w:lastRenderedPageBreak/>
        <w:t xml:space="preserve">experienced management team that has produced consistent growth and success for the Company and its managed business units. Proprietary formulations created by the Company’s technicians are embedded in its top-selling and award-winning products and brands, including Betty’s Eddies, Nature’s Heritage, InHouse, Bubby’s Baked, K Fusion, Kalm Fusion, and Vibations, which are trademarks of MariMed Inc. For additional information, visit </w:t>
      </w:r>
      <w:r>
        <w:rPr>
          <w:rFonts w:ascii="Arial" w:eastAsia="Arial" w:hAnsi="Arial" w:cs="Arial"/>
          <w:color w:val="000000"/>
          <w:shd w:val="clear" w:color="auto" w:fill="FFFFFF"/>
        </w:rPr>
        <w:t>www.marimedinc.com</w:t>
      </w:r>
      <w:r>
        <w:rPr>
          <w:rFonts w:ascii="Arial" w:eastAsia="Arial" w:hAnsi="Arial" w:cs="Arial"/>
          <w:color w:val="000000"/>
          <w:sz w:val="22"/>
          <w:shd w:val="clear" w:color="auto" w:fill="FFFFFF"/>
        </w:rPr>
        <w:t>.</w:t>
      </w:r>
    </w:p>
    <w:p w14:paraId="73717285" w14:textId="77777777" w:rsidR="006E60EE" w:rsidRDefault="004E2592">
      <w:pPr>
        <w:keepNext/>
        <w:spacing w:before="200" w:line="288" w:lineRule="auto"/>
        <w:rPr>
          <w:rFonts w:ascii="Arial" w:eastAsia="Arial" w:hAnsi="Arial" w:cs="Arial"/>
          <w:b/>
          <w:sz w:val="22"/>
          <w:vertAlign w:val="superscript"/>
        </w:rPr>
      </w:pPr>
      <w:r>
        <w:rPr>
          <w:rFonts w:ascii="Arial" w:eastAsia="Arial" w:hAnsi="Arial" w:cs="Arial"/>
          <w:b/>
          <w:sz w:val="22"/>
        </w:rPr>
        <w:t>IMPORTANT CAUTION REGARDING FORWARD-LOOKING STATEMENTS:</w:t>
      </w:r>
    </w:p>
    <w:p w14:paraId="62434A5B" w14:textId="77777777" w:rsidR="006E60EE" w:rsidRDefault="004E2592">
      <w:pPr>
        <w:spacing w:before="200" w:line="288" w:lineRule="auto"/>
        <w:rPr>
          <w:rFonts w:ascii="Arial" w:eastAsia="Arial" w:hAnsi="Arial" w:cs="Arial"/>
          <w:color w:val="000000"/>
          <w:sz w:val="22"/>
          <w:shd w:val="clear" w:color="auto" w:fill="FFFFFF"/>
          <w:vertAlign w:val="superscript"/>
        </w:rPr>
      </w:pPr>
      <w:r>
        <w:rPr>
          <w:rFonts w:ascii="Arial" w:eastAsia="Arial" w:hAnsi="Arial" w:cs="Arial"/>
          <w:color w:val="000000"/>
          <w:sz w:val="22"/>
          <w:shd w:val="clear" w:color="auto" w:fill="FFFFFF"/>
        </w:rPr>
        <w:t>The information in this release contains “forward-looking” statements within the meaning of the U.S. Private Securities Litigation Reform Act of 1995, which are subject to several risks and uncertainties.</w:t>
      </w:r>
      <w:r>
        <w:rPr>
          <w:rFonts w:ascii="Arial" w:eastAsia="Arial" w:hAnsi="Arial" w:cs="Arial"/>
        </w:rPr>
        <w:t xml:space="preserve">  </w:t>
      </w:r>
      <w:r>
        <w:rPr>
          <w:rFonts w:ascii="Arial" w:eastAsia="Arial" w:hAnsi="Arial" w:cs="Arial"/>
          <w:color w:val="000000"/>
          <w:sz w:val="22"/>
          <w:shd w:val="clear" w:color="auto" w:fill="FFFFFF"/>
        </w:rPr>
        <w:t>All statements other than statements of historical facts contained in this release, including without limitation statements regarding projected financial results for 2024, including management’s belief that it will report its fifth consecutive year of positive operating cash flow, anticipated openings of dispensaries and facilities, timing of regulatory approvals, plans and objectives of management for future operations, are forward-looking statements.</w:t>
      </w:r>
      <w:r>
        <w:rPr>
          <w:rFonts w:ascii="Arial" w:eastAsia="Arial" w:hAnsi="Arial" w:cs="Arial"/>
        </w:rPr>
        <w:t xml:space="preserve">  </w:t>
      </w:r>
      <w:r>
        <w:rPr>
          <w:rFonts w:ascii="Arial" w:eastAsia="Arial" w:hAnsi="Arial" w:cs="Arial"/>
          <w:color w:val="000000"/>
          <w:sz w:val="22"/>
          <w:shd w:val="clear" w:color="auto" w:fill="FFFFFF"/>
        </w:rPr>
        <w:t>Without limiting the foregoing, the words “anticipates”, “believes”, “estimates”, “expects”, “expectations”, “intends”, “may”, “plans”, and other similar language, whether in the negative or affirmative, are intended to identify forward-looking statements, although not all forward-looking statements contain these identifying words.</w:t>
      </w:r>
    </w:p>
    <w:p w14:paraId="4A887095" w14:textId="77777777" w:rsidR="006E60EE" w:rsidRDefault="004E2592">
      <w:pPr>
        <w:spacing w:before="200" w:line="288" w:lineRule="auto"/>
        <w:rPr>
          <w:vertAlign w:val="superscript"/>
        </w:rPr>
      </w:pPr>
      <w:r>
        <w:rPr>
          <w:rFonts w:ascii="Arial" w:eastAsia="Arial" w:hAnsi="Arial" w:cs="Arial"/>
          <w:color w:val="000000"/>
          <w:sz w:val="22"/>
          <w:shd w:val="clear" w:color="auto" w:fill="FFFFFF"/>
        </w:rPr>
        <w:t>Forward-looking statements are based on our current beliefs and assumptions regarding our business, timing of regulatory approvals, the ability to obtain new licenses, business prospects and strategic growth plan, and other future conditions.</w:t>
      </w:r>
      <w:r>
        <w:rPr>
          <w:rFonts w:ascii="Arial" w:eastAsia="Arial" w:hAnsi="Arial" w:cs="Arial"/>
        </w:rPr>
        <w:t xml:space="preserve">  </w:t>
      </w:r>
      <w:r>
        <w:rPr>
          <w:rFonts w:ascii="Arial" w:eastAsia="Arial" w:hAnsi="Arial" w:cs="Arial"/>
          <w:color w:val="000000"/>
          <w:sz w:val="22"/>
          <w:shd w:val="clear" w:color="auto" w:fill="FFFFFF"/>
        </w:rPr>
        <w:t>Because forward-looking statements relate to the future, they are subject to inherent uncertainties, risks and changes in circumstances that are difficult to predict.</w:t>
      </w:r>
      <w:r>
        <w:rPr>
          <w:rFonts w:ascii="Arial" w:eastAsia="Arial" w:hAnsi="Arial" w:cs="Arial"/>
        </w:rPr>
        <w:t xml:space="preserve">  </w:t>
      </w:r>
      <w:r>
        <w:rPr>
          <w:rFonts w:ascii="Arial" w:eastAsia="Arial" w:hAnsi="Arial" w:cs="Arial"/>
          <w:color w:val="000000"/>
          <w:sz w:val="22"/>
          <w:shd w:val="clear" w:color="auto" w:fill="FFFFFF"/>
        </w:rPr>
        <w:t>Our actual results may differ materially from those contemplated in these forward-looking statements due to various risks, uncertainties, and other important factors, including, among others, reductions in customer spending, our ability to recruit and retain key personnel, and disruptions from the integration efforts of acquired companies.</w:t>
      </w:r>
    </w:p>
    <w:p w14:paraId="6F53D0B4" w14:textId="77777777" w:rsidR="006E60EE" w:rsidRDefault="004E2592">
      <w:pPr>
        <w:spacing w:before="200" w:line="288" w:lineRule="auto"/>
        <w:rPr>
          <w:rFonts w:ascii="Arial" w:eastAsia="Arial" w:hAnsi="Arial" w:cs="Arial"/>
          <w:sz w:val="22"/>
          <w:vertAlign w:val="superscript"/>
        </w:rPr>
      </w:pPr>
      <w:r>
        <w:rPr>
          <w:rFonts w:ascii="Arial" w:eastAsia="Arial" w:hAnsi="Arial" w:cs="Arial"/>
          <w:color w:val="000000"/>
          <w:sz w:val="22"/>
          <w:shd w:val="clear" w:color="auto" w:fill="FFFFFF"/>
        </w:rPr>
        <w:t>These factors are not intended to be an all-encompassing list of risks and uncertainties that may affect our business and results of operations.</w:t>
      </w:r>
      <w:r>
        <w:rPr>
          <w:rFonts w:ascii="Arial" w:eastAsia="Arial" w:hAnsi="Arial" w:cs="Arial"/>
        </w:rPr>
        <w:t xml:space="preserve">  </w:t>
      </w:r>
      <w:r>
        <w:rPr>
          <w:rFonts w:ascii="Arial" w:eastAsia="Arial" w:hAnsi="Arial" w:cs="Arial"/>
          <w:color w:val="000000"/>
          <w:sz w:val="22"/>
          <w:shd w:val="clear" w:color="auto" w:fill="FFFFFF"/>
        </w:rPr>
        <w:t>These statements are not a guarantee of future performance and involve risk and uncertainties that are difficult to predict, including, among other factors, changes in demand for the Company’s services and products, changes in the law and its enforcement, and changes in the economic environment.  Additional information regarding these and other factors can be found in our reports filed with the U.S. Securities and Exchange Commission.</w:t>
      </w:r>
      <w:r>
        <w:rPr>
          <w:rFonts w:ascii="Arial" w:eastAsia="Arial" w:hAnsi="Arial" w:cs="Arial"/>
        </w:rPr>
        <w:t xml:space="preserve">  </w:t>
      </w:r>
      <w:r>
        <w:rPr>
          <w:rFonts w:ascii="Arial" w:eastAsia="Arial" w:hAnsi="Arial" w:cs="Arial"/>
          <w:color w:val="000000"/>
          <w:sz w:val="22"/>
          <w:shd w:val="clear" w:color="auto" w:fill="FFFFFF"/>
        </w:rPr>
        <w:t>In providing these forward-looking statements, the Company expressly disclaims any obligation to update these statements publicly or otherwise, whether as a result of new information, future events or otherwise, except as required by law.</w:t>
      </w:r>
    </w:p>
    <w:p w14:paraId="7D7A7BA7" w14:textId="77777777" w:rsidR="006E60EE" w:rsidRDefault="004E2592">
      <w:pPr>
        <w:spacing w:before="200" w:line="288" w:lineRule="auto"/>
        <w:rPr>
          <w:rFonts w:ascii="Arial" w:eastAsia="Arial" w:hAnsi="Arial" w:cs="Arial"/>
          <w:color w:val="000000"/>
          <w:sz w:val="22"/>
          <w:shd w:val="clear" w:color="auto" w:fill="FFFFFF"/>
          <w:vertAlign w:val="superscript"/>
        </w:rPr>
      </w:pPr>
      <w:r>
        <w:rPr>
          <w:rFonts w:ascii="Arial" w:eastAsia="Arial" w:hAnsi="Arial" w:cs="Arial"/>
          <w:sz w:val="22"/>
        </w:rPr>
        <w:t>All trademarks and service marks are the property of their respective owners.</w:t>
      </w:r>
    </w:p>
    <w:p w14:paraId="5EE6B605" w14:textId="77777777" w:rsidR="006E60EE" w:rsidRDefault="004E2592">
      <w:pPr>
        <w:keepNext/>
        <w:spacing w:before="200" w:line="288" w:lineRule="auto"/>
        <w:rPr>
          <w:rFonts w:ascii="Arial" w:eastAsia="Arial" w:hAnsi="Arial" w:cs="Arial"/>
          <w:b/>
          <w:sz w:val="22"/>
          <w:vertAlign w:val="superscript"/>
        </w:rPr>
      </w:pPr>
      <w:r>
        <w:rPr>
          <w:rFonts w:ascii="Arial" w:eastAsia="Arial" w:hAnsi="Arial" w:cs="Arial"/>
          <w:b/>
          <w:sz w:val="22"/>
        </w:rPr>
        <w:t>For More Information Contact:</w:t>
      </w:r>
    </w:p>
    <w:p w14:paraId="53E1BD80" w14:textId="77777777" w:rsidR="006E60EE" w:rsidRDefault="004E2592">
      <w:pPr>
        <w:keepNext/>
        <w:spacing w:before="200" w:line="288" w:lineRule="auto"/>
        <w:rPr>
          <w:rFonts w:ascii="Arial" w:eastAsia="Arial" w:hAnsi="Arial" w:cs="Arial"/>
          <w:b/>
          <w:sz w:val="22"/>
          <w:vertAlign w:val="superscript"/>
        </w:rPr>
      </w:pPr>
      <w:r>
        <w:rPr>
          <w:rFonts w:ascii="Arial" w:eastAsia="Arial" w:hAnsi="Arial" w:cs="Arial"/>
          <w:b/>
          <w:sz w:val="22"/>
        </w:rPr>
        <w:t>Investor Relations:</w:t>
      </w:r>
    </w:p>
    <w:p w14:paraId="162FAF9E" w14:textId="77777777" w:rsidR="006E60EE" w:rsidRDefault="004E2592">
      <w:pPr>
        <w:keepNext/>
        <w:spacing w:line="288" w:lineRule="auto"/>
        <w:rPr>
          <w:rFonts w:ascii="Arial" w:eastAsia="Arial" w:hAnsi="Arial" w:cs="Arial"/>
          <w:sz w:val="22"/>
          <w:vertAlign w:val="superscript"/>
        </w:rPr>
      </w:pPr>
      <w:r>
        <w:rPr>
          <w:rFonts w:ascii="Arial" w:eastAsia="Arial" w:hAnsi="Arial" w:cs="Arial"/>
          <w:sz w:val="22"/>
        </w:rPr>
        <w:t>Steve West, Vice President, Investor Relations</w:t>
      </w:r>
    </w:p>
    <w:p w14:paraId="3E710B41" w14:textId="77777777" w:rsidR="006E60EE" w:rsidRDefault="004E2592">
      <w:pPr>
        <w:keepNext/>
        <w:spacing w:line="288" w:lineRule="auto"/>
        <w:rPr>
          <w:rFonts w:ascii="Arial" w:eastAsia="Arial" w:hAnsi="Arial" w:cs="Arial"/>
          <w:sz w:val="22"/>
          <w:vertAlign w:val="superscript"/>
        </w:rPr>
      </w:pPr>
      <w:r>
        <w:rPr>
          <w:rFonts w:ascii="Arial" w:eastAsia="Arial" w:hAnsi="Arial" w:cs="Arial"/>
          <w:sz w:val="22"/>
        </w:rPr>
        <w:t>Email: ir@marimedinc.com</w:t>
      </w:r>
    </w:p>
    <w:p w14:paraId="11C981B3" w14:textId="77777777" w:rsidR="006E60EE" w:rsidRDefault="004E2592">
      <w:pPr>
        <w:spacing w:line="276" w:lineRule="auto"/>
        <w:rPr>
          <w:rFonts w:ascii="Arial" w:eastAsia="Arial" w:hAnsi="Arial" w:cs="Arial"/>
          <w:color w:val="000000"/>
          <w:sz w:val="22"/>
          <w:u w:val="single"/>
          <w:vertAlign w:val="superscript"/>
        </w:rPr>
      </w:pPr>
      <w:r>
        <w:rPr>
          <w:rFonts w:ascii="Arial" w:eastAsia="Arial" w:hAnsi="Arial" w:cs="Arial"/>
          <w:sz w:val="22"/>
        </w:rPr>
        <w:t>Phone: (781) 277-0007</w:t>
      </w:r>
    </w:p>
    <w:p w14:paraId="7A8175A2" w14:textId="77777777" w:rsidR="006E60EE" w:rsidRDefault="004E2592">
      <w:pPr>
        <w:keepNext/>
        <w:spacing w:before="200" w:line="269" w:lineRule="auto"/>
        <w:rPr>
          <w:rFonts w:ascii="Arial" w:eastAsia="Arial" w:hAnsi="Arial" w:cs="Arial"/>
          <w:b/>
          <w:sz w:val="22"/>
          <w:vertAlign w:val="superscript"/>
        </w:rPr>
      </w:pPr>
      <w:r>
        <w:rPr>
          <w:rFonts w:ascii="Arial" w:eastAsia="Arial" w:hAnsi="Arial" w:cs="Arial"/>
          <w:b/>
          <w:sz w:val="22"/>
        </w:rPr>
        <w:lastRenderedPageBreak/>
        <w:t>Company Contact:</w:t>
      </w:r>
    </w:p>
    <w:p w14:paraId="538ABE3D" w14:textId="77777777" w:rsidR="006E60EE" w:rsidRDefault="004E2592">
      <w:pPr>
        <w:keepNext/>
        <w:spacing w:line="288" w:lineRule="auto"/>
        <w:rPr>
          <w:rFonts w:ascii="Arial" w:eastAsia="Arial" w:hAnsi="Arial" w:cs="Arial"/>
          <w:sz w:val="22"/>
          <w:vertAlign w:val="superscript"/>
        </w:rPr>
      </w:pPr>
      <w:r>
        <w:rPr>
          <w:rFonts w:ascii="Arial" w:eastAsia="Arial" w:hAnsi="Arial" w:cs="Arial"/>
          <w:sz w:val="22"/>
        </w:rPr>
        <w:t>Howard Schacter, Chief Communications Officer</w:t>
      </w:r>
    </w:p>
    <w:p w14:paraId="0CB103B4" w14:textId="77777777" w:rsidR="006E60EE" w:rsidRDefault="004E2592">
      <w:pPr>
        <w:keepNext/>
        <w:spacing w:line="288" w:lineRule="auto"/>
        <w:rPr>
          <w:rFonts w:ascii="Arial" w:eastAsia="Arial" w:hAnsi="Arial" w:cs="Arial"/>
          <w:sz w:val="22"/>
          <w:vertAlign w:val="superscript"/>
        </w:rPr>
      </w:pPr>
      <w:r>
        <w:rPr>
          <w:rFonts w:ascii="Arial" w:eastAsia="Arial" w:hAnsi="Arial" w:cs="Arial"/>
          <w:sz w:val="22"/>
        </w:rPr>
        <w:t>Email: hschacter@marimedinc.com</w:t>
      </w:r>
    </w:p>
    <w:p w14:paraId="7DE7C630" w14:textId="77777777" w:rsidR="006E60EE" w:rsidRDefault="004E2592">
      <w:pPr>
        <w:spacing w:line="276" w:lineRule="auto"/>
        <w:rPr>
          <w:rFonts w:ascii="Arial" w:eastAsia="Arial" w:hAnsi="Arial" w:cs="Arial"/>
          <w:color w:val="000000"/>
          <w:sz w:val="22"/>
          <w:u w:val="single"/>
          <w:vertAlign w:val="superscript"/>
        </w:rPr>
      </w:pPr>
      <w:r>
        <w:rPr>
          <w:rFonts w:ascii="Arial" w:eastAsia="Arial" w:hAnsi="Arial" w:cs="Arial"/>
          <w:sz w:val="22"/>
        </w:rPr>
        <w:t>Phone: (781) 277-0007</w:t>
      </w:r>
    </w:p>
    <w:p w14:paraId="3FAB0950" w14:textId="77777777" w:rsidR="006E60EE" w:rsidRDefault="006E60EE">
      <w:pPr>
        <w:spacing w:line="269" w:lineRule="auto"/>
        <w:rPr>
          <w:rFonts w:ascii="Arial" w:eastAsia="Arial" w:hAnsi="Arial" w:cs="Arial"/>
          <w:b/>
          <w:sz w:val="22"/>
          <w:vertAlign w:val="superscript"/>
        </w:rPr>
      </w:pPr>
    </w:p>
    <w:p w14:paraId="1F910EDE" w14:textId="77777777" w:rsidR="006E60EE" w:rsidRDefault="004E2592">
      <w:pPr>
        <w:spacing w:before="200" w:line="288" w:lineRule="auto"/>
        <w:jc w:val="center"/>
        <w:rPr>
          <w:rFonts w:ascii="Calibri" w:eastAsia="Calibri" w:hAnsi="Calibri" w:cs="Calibri"/>
          <w:sz w:val="20"/>
          <w:vertAlign w:val="superscript"/>
        </w:rPr>
      </w:pPr>
      <w:r>
        <w:rPr>
          <w:rFonts w:ascii="Calibri" w:eastAsia="Calibri" w:hAnsi="Calibri" w:cs="Calibri"/>
          <w:b/>
          <w:sz w:val="20"/>
        </w:rPr>
        <w:t># # #</w:t>
      </w:r>
    </w:p>
    <w:p w14:paraId="1AF41518" w14:textId="77777777" w:rsidR="006E60EE" w:rsidRDefault="006E60EE">
      <w:pPr>
        <w:spacing w:before="200" w:line="288" w:lineRule="auto"/>
        <w:jc w:val="center"/>
        <w:rPr>
          <w:rFonts w:ascii="Arial" w:eastAsia="Arial" w:hAnsi="Arial" w:cs="Arial"/>
          <w:sz w:val="22"/>
          <w:vertAlign w:val="superscript"/>
        </w:rPr>
        <w:sectPr w:rsidR="006E60EE" w:rsidSect="00CD06A6">
          <w:headerReference w:type="default" r:id="rId12"/>
          <w:footerReference w:type="default" r:id="rId13"/>
          <w:type w:val="continuous"/>
          <w:pgSz w:w="12240" w:h="15840"/>
          <w:pgMar w:top="900" w:right="1170" w:bottom="900" w:left="1170" w:header="0" w:footer="0" w:gutter="0"/>
          <w:cols w:space="708"/>
          <w:docGrid w:linePitch="360"/>
        </w:sectPr>
      </w:pPr>
    </w:p>
    <w:p w14:paraId="20DA0746" w14:textId="77777777" w:rsidR="006E60EE" w:rsidRDefault="004E2592">
      <w:pPr>
        <w:keepNext/>
        <w:spacing w:line="288" w:lineRule="auto"/>
        <w:jc w:val="center"/>
        <w:outlineLvl w:val="1"/>
        <w:rPr>
          <w:rFonts w:ascii="Arial" w:eastAsia="Arial" w:hAnsi="Arial" w:cs="Arial"/>
          <w:sz w:val="20"/>
        </w:rPr>
      </w:pPr>
      <w:bookmarkStart w:id="0" w:name="Section2"/>
      <w:bookmarkEnd w:id="0"/>
      <w:r>
        <w:rPr>
          <w:rFonts w:ascii="Arial" w:eastAsia="Arial" w:hAnsi="Arial" w:cs="Arial"/>
          <w:sz w:val="20"/>
        </w:rPr>
        <w:lastRenderedPageBreak/>
        <w:t>MariMed Inc.</w:t>
      </w:r>
    </w:p>
    <w:p w14:paraId="6755BBD4"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Condensed Consolidated Balance Sheets</w:t>
      </w:r>
    </w:p>
    <w:p w14:paraId="5F13A515"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(in thousands)</w:t>
      </w:r>
    </w:p>
    <w:p w14:paraId="0FB0F425" w14:textId="77777777" w:rsidR="006E60EE" w:rsidRDefault="004E2592">
      <w:pPr>
        <w:spacing w:line="288" w:lineRule="auto"/>
        <w:jc w:val="center"/>
        <w:rPr>
          <w:rFonts w:ascii="Arial" w:eastAsia="Arial" w:hAnsi="Arial" w:cs="Arial"/>
          <w:sz w:val="20"/>
        </w:rPr>
      </w:pPr>
      <w:r>
        <w:rPr>
          <w:rFonts w:ascii="Arial" w:eastAsia="Arial" w:hAnsi="Arial" w:cs="Arial"/>
          <w:sz w:val="20"/>
        </w:rPr>
        <w:t>(unaudited)</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437"/>
        <w:gridCol w:w="80"/>
        <w:gridCol w:w="1437"/>
      </w:tblGrid>
      <w:tr w:rsidR="006E60EE" w14:paraId="19E58284" w14:textId="77777777">
        <w:trPr>
          <w:cantSplit/>
          <w:tblHeader/>
          <w:jc w:val="center"/>
        </w:trPr>
        <w:tc>
          <w:tcPr>
            <w:tcW w:w="6960" w:type="dxa"/>
            <w:tcBorders>
              <w:top w:val="nil"/>
              <w:left w:val="nil"/>
              <w:bottom w:val="nil"/>
              <w:right w:val="nil"/>
            </w:tcBorders>
            <w:tcMar>
              <w:top w:w="0" w:type="dxa"/>
              <w:left w:w="0" w:type="dxa"/>
              <w:bottom w:w="0" w:type="dxa"/>
              <w:right w:w="0" w:type="dxa"/>
            </w:tcMar>
            <w:vAlign w:val="bottom"/>
          </w:tcPr>
          <w:p w14:paraId="1292D6EF" w14:textId="77777777" w:rsidR="006E60EE" w:rsidRDefault="006E60EE"/>
        </w:tc>
        <w:tc>
          <w:tcPr>
            <w:tcW w:w="1440" w:type="dxa"/>
            <w:tcBorders>
              <w:top w:val="nil"/>
              <w:left w:val="nil"/>
              <w:bottom w:val="single" w:sz="8" w:space="0" w:color="000000"/>
              <w:right w:val="nil"/>
            </w:tcBorders>
            <w:tcMar>
              <w:top w:w="0" w:type="dxa"/>
              <w:left w:w="53" w:type="dxa"/>
              <w:bottom w:w="0" w:type="dxa"/>
              <w:right w:w="53" w:type="dxa"/>
            </w:tcMar>
            <w:vAlign w:val="bottom"/>
          </w:tcPr>
          <w:p w14:paraId="264C37BD" w14:textId="77777777" w:rsidR="006E60EE" w:rsidRDefault="004E2592">
            <w:pPr>
              <w:spacing w:before="65" w:after="20"/>
              <w:jc w:val="center"/>
            </w:pPr>
            <w:r>
              <w:rPr>
                <w:rFonts w:ascii="Arial" w:eastAsia="Arial" w:hAnsi="Arial" w:cs="Arial"/>
                <w:color w:val="000000"/>
                <w:sz w:val="20"/>
              </w:rPr>
              <w:t>March 31,</w:t>
            </w:r>
            <w:r>
              <w:br/>
            </w:r>
            <w:r>
              <w:rPr>
                <w:rFonts w:ascii="Arial" w:eastAsia="Arial" w:hAnsi="Arial" w:cs="Arial"/>
                <w:color w:val="000000"/>
                <w:sz w:val="20"/>
              </w:rPr>
              <w:t>2024</w:t>
            </w:r>
          </w:p>
        </w:tc>
        <w:tc>
          <w:tcPr>
            <w:tcW w:w="60" w:type="dxa"/>
            <w:tcBorders>
              <w:top w:val="nil"/>
              <w:left w:val="nil"/>
              <w:bottom w:val="nil"/>
              <w:right w:val="nil"/>
            </w:tcBorders>
            <w:tcMar>
              <w:top w:w="0" w:type="dxa"/>
              <w:left w:w="0" w:type="dxa"/>
              <w:bottom w:w="0" w:type="dxa"/>
              <w:right w:w="0" w:type="dxa"/>
            </w:tcMar>
            <w:vAlign w:val="bottom"/>
          </w:tcPr>
          <w:p w14:paraId="550307E1" w14:textId="77777777" w:rsidR="006E60EE" w:rsidRDefault="006E60EE"/>
        </w:tc>
        <w:tc>
          <w:tcPr>
            <w:tcW w:w="1440" w:type="dxa"/>
            <w:tcBorders>
              <w:top w:val="nil"/>
              <w:left w:val="nil"/>
              <w:bottom w:val="single" w:sz="8" w:space="0" w:color="000000"/>
              <w:right w:val="nil"/>
            </w:tcBorders>
            <w:tcMar>
              <w:top w:w="0" w:type="dxa"/>
              <w:left w:w="53" w:type="dxa"/>
              <w:bottom w:w="0" w:type="dxa"/>
              <w:right w:w="53" w:type="dxa"/>
            </w:tcMar>
            <w:vAlign w:val="bottom"/>
          </w:tcPr>
          <w:p w14:paraId="705221BF" w14:textId="77777777" w:rsidR="006E60EE" w:rsidRDefault="004E2592">
            <w:pPr>
              <w:spacing w:before="65" w:after="20"/>
              <w:jc w:val="center"/>
            </w:pPr>
            <w:r>
              <w:rPr>
                <w:rFonts w:ascii="Arial" w:eastAsia="Arial" w:hAnsi="Arial" w:cs="Arial"/>
                <w:color w:val="000000"/>
                <w:sz w:val="20"/>
              </w:rPr>
              <w:t>December 31,</w:t>
            </w:r>
            <w:r>
              <w:br/>
            </w:r>
            <w:r>
              <w:rPr>
                <w:rFonts w:ascii="Arial" w:eastAsia="Arial" w:hAnsi="Arial" w:cs="Arial"/>
                <w:color w:val="000000"/>
                <w:sz w:val="20"/>
              </w:rPr>
              <w:t>2023</w:t>
            </w:r>
          </w:p>
        </w:tc>
      </w:tr>
      <w:tr w:rsidR="006E60EE" w14:paraId="572CB4B9"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4CCCB9C" w14:textId="77777777" w:rsidR="006E60EE" w:rsidRDefault="004E2592">
            <w:pPr>
              <w:spacing w:before="55" w:after="30"/>
            </w:pPr>
            <w:r>
              <w:rPr>
                <w:rFonts w:ascii="Arial" w:eastAsia="Arial" w:hAnsi="Arial" w:cs="Arial"/>
                <w:color w:val="000000"/>
                <w:sz w:val="20"/>
              </w:rPr>
              <w:t>Assets</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FABE85B"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0FDA5E0"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DD172C5" w14:textId="77777777" w:rsidR="006E60EE" w:rsidRDefault="004E2592">
            <w:pPr>
              <w:spacing w:before="55" w:after="30"/>
              <w:jc w:val="right"/>
            </w:pPr>
            <w:r>
              <w:rPr>
                <w:rFonts w:ascii="Arial" w:eastAsia="Arial" w:hAnsi="Arial" w:cs="Arial"/>
                <w:color w:val="000000"/>
                <w:sz w:val="20"/>
              </w:rPr>
              <w:t xml:space="preserve"> </w:t>
            </w:r>
          </w:p>
        </w:tc>
      </w:tr>
      <w:tr w:rsidR="006E60EE" w14:paraId="342AA81C"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91E1025" w14:textId="77777777" w:rsidR="006E60EE" w:rsidRDefault="004E2592">
            <w:pPr>
              <w:spacing w:before="75" w:after="30"/>
              <w:ind w:left="240"/>
            </w:pPr>
            <w:r>
              <w:rPr>
                <w:rFonts w:ascii="Arial" w:eastAsia="Arial" w:hAnsi="Arial" w:cs="Arial"/>
                <w:color w:val="000000"/>
                <w:sz w:val="20"/>
              </w:rPr>
              <w:t>Current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15E4DB5" w14:textId="77777777" w:rsidR="006E60EE" w:rsidRDefault="004E2592">
            <w:pPr>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9D7F2AB"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C8562C3" w14:textId="77777777" w:rsidR="006E60EE" w:rsidRDefault="004E2592">
            <w:pPr>
              <w:spacing w:before="75" w:after="30"/>
              <w:jc w:val="right"/>
            </w:pPr>
            <w:r>
              <w:rPr>
                <w:rFonts w:ascii="Arial" w:eastAsia="Arial" w:hAnsi="Arial" w:cs="Arial"/>
                <w:color w:val="000000"/>
                <w:sz w:val="20"/>
              </w:rPr>
              <w:t xml:space="preserve"> </w:t>
            </w:r>
          </w:p>
        </w:tc>
      </w:tr>
      <w:tr w:rsidR="006E60EE" w14:paraId="4B93A8CC"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38008C5" w14:textId="77777777" w:rsidR="006E60EE" w:rsidRDefault="004E2592">
            <w:pPr>
              <w:spacing w:before="75" w:after="30"/>
              <w:ind w:left="480"/>
            </w:pPr>
            <w:r>
              <w:rPr>
                <w:rFonts w:ascii="Arial" w:eastAsia="Arial" w:hAnsi="Arial" w:cs="Arial"/>
                <w:color w:val="000000"/>
                <w:sz w:val="20"/>
              </w:rPr>
              <w:t>Cash and cash equivalents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1DD5C29" w14:textId="77777777" w:rsidR="006E60EE" w:rsidRDefault="004E2592">
            <w:pPr>
              <w:tabs>
                <w:tab w:val="left" w:pos="696"/>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15,234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4256EA1"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B11F93F" w14:textId="77777777" w:rsidR="006E60EE" w:rsidRDefault="004E2592">
            <w:pPr>
              <w:tabs>
                <w:tab w:val="left" w:pos="696"/>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14,645</w:t>
            </w:r>
            <w:r>
              <w:rPr>
                <w:rFonts w:ascii="Arial" w:eastAsia="Arial" w:hAnsi="Arial" w:cs="Arial"/>
                <w:color w:val="000000"/>
                <w:sz w:val="20"/>
              </w:rPr>
              <w:tab/>
            </w:r>
          </w:p>
        </w:tc>
      </w:tr>
      <w:tr w:rsidR="006E60EE" w14:paraId="44677CB8"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ABF7BD0" w14:textId="77777777" w:rsidR="006E60EE" w:rsidRDefault="004E2592">
            <w:pPr>
              <w:spacing w:before="75" w:after="30"/>
              <w:ind w:left="480"/>
            </w:pPr>
            <w:r>
              <w:rPr>
                <w:rFonts w:ascii="Arial" w:eastAsia="Arial" w:hAnsi="Arial" w:cs="Arial"/>
                <w:color w:val="000000"/>
                <w:sz w:val="20"/>
              </w:rPr>
              <w:t>Accounts receivable, net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EFDD55F" w14:textId="77777777" w:rsidR="006E60EE" w:rsidRDefault="004E2592">
            <w:pPr>
              <w:tabs>
                <w:tab w:val="left" w:pos="807"/>
                <w:tab w:val="left" w:pos="1372"/>
              </w:tabs>
              <w:spacing w:before="75" w:after="30"/>
              <w:jc w:val="right"/>
            </w:pPr>
            <w:r>
              <w:rPr>
                <w:rFonts w:ascii="Arial" w:eastAsia="Arial" w:hAnsi="Arial" w:cs="Arial"/>
                <w:color w:val="000000"/>
                <w:sz w:val="20"/>
              </w:rPr>
              <w:tab/>
              <w:t>6,491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AEF6C44"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E191C83" w14:textId="77777777" w:rsidR="006E60EE" w:rsidRDefault="004E2592">
            <w:pPr>
              <w:tabs>
                <w:tab w:val="left" w:pos="807"/>
                <w:tab w:val="left" w:pos="1372"/>
              </w:tabs>
              <w:spacing w:before="75" w:after="30"/>
              <w:jc w:val="right"/>
            </w:pPr>
            <w:r>
              <w:rPr>
                <w:rFonts w:ascii="Arial" w:eastAsia="Arial" w:hAnsi="Arial" w:cs="Arial"/>
                <w:color w:val="000000"/>
                <w:sz w:val="20"/>
              </w:rPr>
              <w:tab/>
              <w:t>7,199</w:t>
            </w:r>
            <w:r>
              <w:rPr>
                <w:rFonts w:ascii="Arial" w:eastAsia="Arial" w:hAnsi="Arial" w:cs="Arial"/>
                <w:color w:val="000000"/>
                <w:sz w:val="20"/>
              </w:rPr>
              <w:tab/>
            </w:r>
          </w:p>
        </w:tc>
      </w:tr>
      <w:tr w:rsidR="006E60EE" w14:paraId="5759C53E" w14:textId="77777777">
        <w:trPr>
          <w:cantSplit/>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1288259" w14:textId="77777777" w:rsidR="006E60EE" w:rsidRDefault="004E2592">
            <w:pPr>
              <w:spacing w:before="65" w:after="20"/>
              <w:ind w:left="480"/>
            </w:pPr>
            <w:r>
              <w:rPr>
                <w:rFonts w:ascii="Arial" w:eastAsia="Arial" w:hAnsi="Arial" w:cs="Arial"/>
                <w:color w:val="000000"/>
                <w:sz w:val="20"/>
              </w:rPr>
              <w:t>Inventory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A1D7291" w14:textId="77777777" w:rsidR="006E60EE" w:rsidRDefault="004E2592">
            <w:pPr>
              <w:tabs>
                <w:tab w:val="left" w:pos="696"/>
                <w:tab w:val="left" w:pos="1372"/>
              </w:tabs>
              <w:spacing w:before="65" w:after="20"/>
              <w:jc w:val="right"/>
            </w:pPr>
            <w:r>
              <w:rPr>
                <w:rFonts w:ascii="Arial" w:eastAsia="Arial" w:hAnsi="Arial" w:cs="Arial"/>
                <w:color w:val="000000"/>
                <w:sz w:val="20"/>
              </w:rPr>
              <w:tab/>
              <w:t>29,044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6C0DD2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FF1B92C" w14:textId="77777777" w:rsidR="006E60EE" w:rsidRDefault="004E2592">
            <w:pPr>
              <w:tabs>
                <w:tab w:val="left" w:pos="696"/>
                <w:tab w:val="left" w:pos="1372"/>
              </w:tabs>
              <w:spacing w:before="65" w:after="20"/>
              <w:jc w:val="right"/>
            </w:pPr>
            <w:r>
              <w:rPr>
                <w:rFonts w:ascii="Arial" w:eastAsia="Arial" w:hAnsi="Arial" w:cs="Arial"/>
                <w:color w:val="000000"/>
                <w:sz w:val="20"/>
              </w:rPr>
              <w:tab/>
              <w:t>25,306</w:t>
            </w:r>
            <w:r>
              <w:rPr>
                <w:rFonts w:ascii="Arial" w:eastAsia="Arial" w:hAnsi="Arial" w:cs="Arial"/>
                <w:color w:val="000000"/>
                <w:sz w:val="20"/>
              </w:rPr>
              <w:tab/>
            </w:r>
          </w:p>
        </w:tc>
      </w:tr>
      <w:tr w:rsidR="006E60EE" w14:paraId="5A76765C"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29F0C9D2" w14:textId="77777777" w:rsidR="006E60EE" w:rsidRDefault="004E2592">
            <w:pPr>
              <w:spacing w:before="75" w:after="30"/>
              <w:ind w:left="480"/>
            </w:pPr>
            <w:r>
              <w:rPr>
                <w:rFonts w:ascii="Arial" w:eastAsia="Arial" w:hAnsi="Arial" w:cs="Arial"/>
                <w:color w:val="000000"/>
                <w:sz w:val="20"/>
              </w:rPr>
              <w:t>Deferred rents receivable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57B3F27" w14:textId="77777777" w:rsidR="006E60EE" w:rsidRDefault="004E2592">
            <w:pPr>
              <w:tabs>
                <w:tab w:val="left" w:pos="974"/>
                <w:tab w:val="left" w:pos="1372"/>
              </w:tabs>
              <w:spacing w:before="75" w:after="30"/>
              <w:jc w:val="right"/>
            </w:pPr>
            <w:r>
              <w:rPr>
                <w:rFonts w:ascii="Arial" w:eastAsia="Arial" w:hAnsi="Arial" w:cs="Arial"/>
                <w:color w:val="000000"/>
                <w:sz w:val="20"/>
              </w:rPr>
              <w:tab/>
              <w:t>612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432880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199F5C6" w14:textId="77777777" w:rsidR="006E60EE" w:rsidRDefault="004E2592">
            <w:pPr>
              <w:tabs>
                <w:tab w:val="left" w:pos="974"/>
                <w:tab w:val="left" w:pos="1372"/>
              </w:tabs>
              <w:spacing w:before="75" w:after="30"/>
              <w:jc w:val="right"/>
            </w:pPr>
            <w:r>
              <w:rPr>
                <w:rFonts w:ascii="Arial" w:eastAsia="Arial" w:hAnsi="Arial" w:cs="Arial"/>
                <w:color w:val="000000"/>
                <w:sz w:val="20"/>
              </w:rPr>
              <w:tab/>
              <w:t>630</w:t>
            </w:r>
            <w:r>
              <w:rPr>
                <w:rFonts w:ascii="Arial" w:eastAsia="Arial" w:hAnsi="Arial" w:cs="Arial"/>
                <w:color w:val="000000"/>
                <w:sz w:val="20"/>
              </w:rPr>
              <w:tab/>
            </w:r>
          </w:p>
        </w:tc>
      </w:tr>
      <w:tr w:rsidR="006E60EE" w14:paraId="577D08BE"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0DA78190" w14:textId="77777777" w:rsidR="006E60EE" w:rsidRDefault="004E2592">
            <w:pPr>
              <w:spacing w:before="75" w:after="30"/>
              <w:ind w:left="480"/>
            </w:pPr>
            <w:r>
              <w:rPr>
                <w:rFonts w:ascii="Arial" w:eastAsia="Arial" w:hAnsi="Arial" w:cs="Arial"/>
                <w:color w:val="000000"/>
                <w:sz w:val="20"/>
              </w:rPr>
              <w:t>Notes receivable, current portion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E22387E" w14:textId="77777777" w:rsidR="006E60EE" w:rsidRDefault="004E2592">
            <w:pPr>
              <w:tabs>
                <w:tab w:val="left" w:pos="1085"/>
                <w:tab w:val="left" w:pos="1372"/>
              </w:tabs>
              <w:spacing w:before="75" w:after="30"/>
              <w:jc w:val="right"/>
            </w:pPr>
            <w:r>
              <w:rPr>
                <w:rFonts w:ascii="Arial" w:eastAsia="Arial" w:hAnsi="Arial" w:cs="Arial"/>
                <w:color w:val="000000"/>
                <w:sz w:val="20"/>
              </w:rPr>
              <w:tab/>
              <w:t>52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1DE290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2D95ACC" w14:textId="77777777" w:rsidR="006E60EE" w:rsidRDefault="004E2592">
            <w:pPr>
              <w:tabs>
                <w:tab w:val="left" w:pos="1085"/>
                <w:tab w:val="left" w:pos="1372"/>
              </w:tabs>
              <w:spacing w:before="75" w:after="30"/>
              <w:jc w:val="right"/>
            </w:pPr>
            <w:r>
              <w:rPr>
                <w:rFonts w:ascii="Arial" w:eastAsia="Arial" w:hAnsi="Arial" w:cs="Arial"/>
                <w:color w:val="000000"/>
                <w:sz w:val="20"/>
              </w:rPr>
              <w:tab/>
              <w:t>52</w:t>
            </w:r>
            <w:r>
              <w:rPr>
                <w:rFonts w:ascii="Arial" w:eastAsia="Arial" w:hAnsi="Arial" w:cs="Arial"/>
                <w:color w:val="000000"/>
                <w:sz w:val="20"/>
              </w:rPr>
              <w:tab/>
            </w:r>
          </w:p>
        </w:tc>
      </w:tr>
      <w:tr w:rsidR="006E60EE" w14:paraId="1FDA003B"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2C5498C" w14:textId="77777777" w:rsidR="006E60EE" w:rsidRDefault="004E2592">
            <w:pPr>
              <w:spacing w:before="75" w:after="30"/>
              <w:ind w:left="480"/>
            </w:pPr>
            <w:r>
              <w:rPr>
                <w:rFonts w:ascii="Arial" w:eastAsia="Arial" w:hAnsi="Arial" w:cs="Arial"/>
                <w:color w:val="000000"/>
                <w:sz w:val="20"/>
              </w:rPr>
              <w:t>Investments,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5A3689D"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8F1001D"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09E3167" w14:textId="77777777" w:rsidR="006E60EE" w:rsidRDefault="004E2592">
            <w:pPr>
              <w:tabs>
                <w:tab w:val="left" w:pos="1085"/>
                <w:tab w:val="left" w:pos="1372"/>
              </w:tabs>
              <w:spacing w:before="75" w:after="30"/>
              <w:jc w:val="right"/>
            </w:pPr>
            <w:r>
              <w:rPr>
                <w:rFonts w:ascii="Arial" w:eastAsia="Arial" w:hAnsi="Arial" w:cs="Arial"/>
                <w:color w:val="000000"/>
                <w:sz w:val="20"/>
              </w:rPr>
              <w:tab/>
              <w:t>88</w:t>
            </w:r>
            <w:r>
              <w:rPr>
                <w:rFonts w:ascii="Arial" w:eastAsia="Arial" w:hAnsi="Arial" w:cs="Arial"/>
                <w:color w:val="000000"/>
                <w:sz w:val="20"/>
              </w:rPr>
              <w:tab/>
            </w:r>
          </w:p>
        </w:tc>
      </w:tr>
      <w:tr w:rsidR="006E60EE" w14:paraId="400631B0"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094799AD" w14:textId="77777777" w:rsidR="006E60EE" w:rsidRDefault="004E2592">
            <w:pPr>
              <w:spacing w:before="75" w:after="30"/>
              <w:ind w:left="480"/>
            </w:pPr>
            <w:r>
              <w:rPr>
                <w:rFonts w:ascii="Arial" w:eastAsia="Arial" w:hAnsi="Arial" w:cs="Arial"/>
                <w:color w:val="000000"/>
                <w:sz w:val="20"/>
              </w:rPr>
              <w:t>Due from related parties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ADF24D7" w14:textId="77777777" w:rsidR="006E60EE" w:rsidRDefault="004E2592">
            <w:pPr>
              <w:tabs>
                <w:tab w:val="left" w:pos="974"/>
                <w:tab w:val="left" w:pos="1372"/>
              </w:tabs>
              <w:spacing w:before="75" w:after="30"/>
              <w:jc w:val="right"/>
            </w:pPr>
            <w:r>
              <w:rPr>
                <w:rFonts w:ascii="Arial" w:eastAsia="Arial" w:hAnsi="Arial" w:cs="Arial"/>
                <w:color w:val="000000"/>
                <w:sz w:val="20"/>
              </w:rPr>
              <w:tab/>
              <w:t>181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D951F46"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CDDB218" w14:textId="77777777" w:rsidR="006E60EE" w:rsidRDefault="004E2592">
            <w:pPr>
              <w:tabs>
                <w:tab w:val="left" w:pos="974"/>
                <w:tab w:val="left" w:pos="1372"/>
              </w:tabs>
              <w:spacing w:before="75" w:after="30"/>
              <w:jc w:val="right"/>
            </w:pPr>
            <w:r>
              <w:rPr>
                <w:rFonts w:ascii="Arial" w:eastAsia="Arial" w:hAnsi="Arial" w:cs="Arial"/>
                <w:color w:val="000000"/>
                <w:sz w:val="20"/>
              </w:rPr>
              <w:tab/>
              <w:t>105</w:t>
            </w:r>
            <w:r>
              <w:rPr>
                <w:rFonts w:ascii="Arial" w:eastAsia="Arial" w:hAnsi="Arial" w:cs="Arial"/>
                <w:color w:val="000000"/>
                <w:sz w:val="20"/>
              </w:rPr>
              <w:tab/>
            </w:r>
          </w:p>
        </w:tc>
      </w:tr>
      <w:tr w:rsidR="006E60EE" w14:paraId="18D51D03"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48AD0727" w14:textId="77777777" w:rsidR="006E60EE" w:rsidRDefault="004E2592">
            <w:pPr>
              <w:spacing w:before="75" w:after="30"/>
              <w:ind w:left="480"/>
            </w:pPr>
            <w:r>
              <w:rPr>
                <w:rFonts w:ascii="Arial" w:eastAsia="Arial" w:hAnsi="Arial" w:cs="Arial"/>
                <w:color w:val="000000"/>
                <w:sz w:val="20"/>
              </w:rPr>
              <w:t>Other current assets</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0F83152" w14:textId="77777777" w:rsidR="006E60EE" w:rsidRDefault="004E2592">
            <w:pPr>
              <w:tabs>
                <w:tab w:val="left" w:pos="807"/>
                <w:tab w:val="left" w:pos="1372"/>
              </w:tabs>
              <w:spacing w:before="75" w:after="30"/>
              <w:jc w:val="right"/>
            </w:pPr>
            <w:r>
              <w:rPr>
                <w:rFonts w:ascii="Arial" w:eastAsia="Arial" w:hAnsi="Arial" w:cs="Arial"/>
                <w:color w:val="000000"/>
                <w:sz w:val="20"/>
              </w:rPr>
              <w:tab/>
              <w:t>3,281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C88DB93" w14:textId="77777777" w:rsidR="006E60EE" w:rsidRDefault="006E60EE"/>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95C6680" w14:textId="77777777" w:rsidR="006E60EE" w:rsidRDefault="004E2592">
            <w:pPr>
              <w:tabs>
                <w:tab w:val="left" w:pos="807"/>
                <w:tab w:val="left" w:pos="1372"/>
              </w:tabs>
              <w:spacing w:before="75" w:after="30"/>
              <w:jc w:val="right"/>
            </w:pPr>
            <w:r>
              <w:rPr>
                <w:rFonts w:ascii="Arial" w:eastAsia="Arial" w:hAnsi="Arial" w:cs="Arial"/>
                <w:color w:val="000000"/>
                <w:sz w:val="20"/>
              </w:rPr>
              <w:tab/>
              <w:t>3,407</w:t>
            </w:r>
            <w:r>
              <w:rPr>
                <w:rFonts w:ascii="Arial" w:eastAsia="Arial" w:hAnsi="Arial" w:cs="Arial"/>
                <w:color w:val="000000"/>
                <w:sz w:val="20"/>
              </w:rPr>
              <w:tab/>
            </w:r>
          </w:p>
        </w:tc>
      </w:tr>
      <w:tr w:rsidR="006E60EE" w14:paraId="48B8CA38"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2C6ADC4" w14:textId="77777777" w:rsidR="006E60EE" w:rsidRDefault="004E2592">
            <w:pPr>
              <w:spacing w:before="55" w:after="30"/>
              <w:ind w:left="720"/>
            </w:pPr>
            <w:r>
              <w:rPr>
                <w:rFonts w:ascii="Arial" w:eastAsia="Arial" w:hAnsi="Arial" w:cs="Arial"/>
                <w:color w:val="000000"/>
                <w:sz w:val="20"/>
              </w:rPr>
              <w:t>Total current assets</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B052273" w14:textId="77777777" w:rsidR="006E60EE" w:rsidRDefault="004E2592">
            <w:pPr>
              <w:tabs>
                <w:tab w:val="left" w:pos="696"/>
                <w:tab w:val="left" w:pos="1372"/>
              </w:tabs>
              <w:spacing w:before="55" w:after="30"/>
              <w:jc w:val="right"/>
            </w:pPr>
            <w:r>
              <w:rPr>
                <w:rFonts w:ascii="Arial" w:eastAsia="Arial" w:hAnsi="Arial" w:cs="Arial"/>
                <w:color w:val="000000"/>
                <w:sz w:val="20"/>
              </w:rPr>
              <w:tab/>
              <w:t>54,895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F078558"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E936C92" w14:textId="77777777" w:rsidR="006E60EE" w:rsidRDefault="004E2592">
            <w:pPr>
              <w:tabs>
                <w:tab w:val="left" w:pos="696"/>
                <w:tab w:val="left" w:pos="1372"/>
              </w:tabs>
              <w:spacing w:before="55" w:after="30"/>
              <w:jc w:val="right"/>
            </w:pPr>
            <w:r>
              <w:rPr>
                <w:rFonts w:ascii="Arial" w:eastAsia="Arial" w:hAnsi="Arial" w:cs="Arial"/>
                <w:color w:val="000000"/>
                <w:sz w:val="20"/>
              </w:rPr>
              <w:tab/>
              <w:t>51,432</w:t>
            </w:r>
            <w:r>
              <w:rPr>
                <w:rFonts w:ascii="Arial" w:eastAsia="Arial" w:hAnsi="Arial" w:cs="Arial"/>
                <w:color w:val="000000"/>
                <w:sz w:val="20"/>
              </w:rPr>
              <w:tab/>
            </w:r>
          </w:p>
        </w:tc>
      </w:tr>
      <w:tr w:rsidR="006E60EE" w14:paraId="540664F5"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432B47C" w14:textId="77777777" w:rsidR="006E60EE" w:rsidRDefault="004E2592">
            <w:pPr>
              <w:spacing w:before="75" w:after="30"/>
              <w:ind w:left="240"/>
            </w:pPr>
            <w:r>
              <w:rPr>
                <w:rFonts w:ascii="Arial" w:eastAsia="Arial" w:hAnsi="Arial" w:cs="Arial"/>
                <w:color w:val="000000"/>
                <w:sz w:val="20"/>
              </w:rPr>
              <w:t>Property and equipment, net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842F9B3" w14:textId="77777777" w:rsidR="006E60EE" w:rsidRDefault="004E2592">
            <w:pPr>
              <w:tabs>
                <w:tab w:val="left" w:pos="696"/>
                <w:tab w:val="left" w:pos="1372"/>
              </w:tabs>
              <w:spacing w:before="75" w:after="30"/>
              <w:jc w:val="right"/>
            </w:pPr>
            <w:r>
              <w:rPr>
                <w:rFonts w:ascii="Arial" w:eastAsia="Arial" w:hAnsi="Arial" w:cs="Arial"/>
                <w:color w:val="000000"/>
                <w:sz w:val="20"/>
              </w:rPr>
              <w:tab/>
              <w:t>90,765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C721D39"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0D7DB56" w14:textId="77777777" w:rsidR="006E60EE" w:rsidRDefault="004E2592">
            <w:pPr>
              <w:tabs>
                <w:tab w:val="left" w:pos="696"/>
                <w:tab w:val="left" w:pos="1372"/>
              </w:tabs>
              <w:spacing w:before="75" w:after="30"/>
              <w:jc w:val="right"/>
            </w:pPr>
            <w:r>
              <w:rPr>
                <w:rFonts w:ascii="Arial" w:eastAsia="Arial" w:hAnsi="Arial" w:cs="Arial"/>
                <w:color w:val="000000"/>
                <w:sz w:val="20"/>
              </w:rPr>
              <w:tab/>
              <w:t>89,103</w:t>
            </w:r>
            <w:r>
              <w:rPr>
                <w:rFonts w:ascii="Arial" w:eastAsia="Arial" w:hAnsi="Arial" w:cs="Arial"/>
                <w:color w:val="000000"/>
                <w:sz w:val="20"/>
              </w:rPr>
              <w:tab/>
            </w:r>
          </w:p>
        </w:tc>
      </w:tr>
      <w:tr w:rsidR="006E60EE" w14:paraId="36F49563"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45BE85E" w14:textId="77777777" w:rsidR="006E60EE" w:rsidRDefault="004E2592">
            <w:pPr>
              <w:spacing w:before="75" w:after="30"/>
              <w:ind w:left="240"/>
            </w:pPr>
            <w:r>
              <w:rPr>
                <w:rFonts w:ascii="Arial" w:eastAsia="Arial" w:hAnsi="Arial" w:cs="Arial"/>
                <w:color w:val="000000"/>
                <w:sz w:val="20"/>
              </w:rPr>
              <w:t>Intangible assets, net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4EE1E10" w14:textId="77777777" w:rsidR="006E60EE" w:rsidRDefault="004E2592">
            <w:pPr>
              <w:tabs>
                <w:tab w:val="left" w:pos="696"/>
                <w:tab w:val="left" w:pos="1372"/>
              </w:tabs>
              <w:spacing w:before="75" w:after="30"/>
              <w:jc w:val="right"/>
            </w:pPr>
            <w:r>
              <w:rPr>
                <w:rFonts w:ascii="Arial" w:eastAsia="Arial" w:hAnsi="Arial" w:cs="Arial"/>
                <w:color w:val="000000"/>
                <w:sz w:val="20"/>
              </w:rPr>
              <w:tab/>
              <w:t>12,819</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E042354"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FCC2D59" w14:textId="77777777" w:rsidR="006E60EE" w:rsidRDefault="004E2592">
            <w:pPr>
              <w:tabs>
                <w:tab w:val="left" w:pos="696"/>
                <w:tab w:val="left" w:pos="1372"/>
              </w:tabs>
              <w:spacing w:before="75" w:after="30"/>
              <w:jc w:val="right"/>
            </w:pPr>
            <w:r>
              <w:rPr>
                <w:rFonts w:ascii="Arial" w:eastAsia="Arial" w:hAnsi="Arial" w:cs="Arial"/>
                <w:color w:val="000000"/>
                <w:sz w:val="20"/>
              </w:rPr>
              <w:tab/>
              <w:t>17,012</w:t>
            </w:r>
            <w:r>
              <w:rPr>
                <w:rFonts w:ascii="Arial" w:eastAsia="Arial" w:hAnsi="Arial" w:cs="Arial"/>
                <w:color w:val="000000"/>
                <w:sz w:val="20"/>
              </w:rPr>
              <w:tab/>
            </w:r>
          </w:p>
        </w:tc>
      </w:tr>
      <w:tr w:rsidR="006E60EE" w14:paraId="5382BC5C"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013B993" w14:textId="77777777" w:rsidR="006E60EE" w:rsidRDefault="004E2592">
            <w:pPr>
              <w:spacing w:before="75" w:after="30"/>
              <w:ind w:left="240"/>
            </w:pPr>
            <w:r>
              <w:rPr>
                <w:rFonts w:ascii="Arial" w:eastAsia="Arial" w:hAnsi="Arial" w:cs="Arial"/>
                <w:color w:val="000000"/>
                <w:sz w:val="20"/>
              </w:rPr>
              <w:t>Goodwill</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FC32899" w14:textId="77777777" w:rsidR="006E60EE" w:rsidRDefault="004E2592">
            <w:pPr>
              <w:tabs>
                <w:tab w:val="left" w:pos="696"/>
                <w:tab w:val="left" w:pos="1372"/>
              </w:tabs>
              <w:spacing w:before="75" w:after="30"/>
              <w:jc w:val="right"/>
            </w:pPr>
            <w:r>
              <w:rPr>
                <w:rFonts w:ascii="Arial" w:eastAsia="Arial" w:hAnsi="Arial" w:cs="Arial"/>
                <w:color w:val="000000"/>
                <w:sz w:val="20"/>
              </w:rPr>
              <w:tab/>
              <w:t>15,812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CF95A83"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51220D7" w14:textId="77777777" w:rsidR="006E60EE" w:rsidRDefault="004E2592">
            <w:pPr>
              <w:tabs>
                <w:tab w:val="left" w:pos="696"/>
                <w:tab w:val="left" w:pos="1372"/>
              </w:tabs>
              <w:spacing w:before="75" w:after="30"/>
              <w:jc w:val="right"/>
            </w:pPr>
            <w:r>
              <w:rPr>
                <w:rFonts w:ascii="Arial" w:eastAsia="Arial" w:hAnsi="Arial" w:cs="Arial"/>
                <w:color w:val="000000"/>
                <w:sz w:val="20"/>
              </w:rPr>
              <w:tab/>
              <w:t>11,993</w:t>
            </w:r>
            <w:r>
              <w:rPr>
                <w:rFonts w:ascii="Arial" w:eastAsia="Arial" w:hAnsi="Arial" w:cs="Arial"/>
                <w:color w:val="000000"/>
                <w:sz w:val="20"/>
              </w:rPr>
              <w:tab/>
            </w:r>
          </w:p>
        </w:tc>
      </w:tr>
      <w:tr w:rsidR="006E60EE" w14:paraId="694C6CC6" w14:textId="77777777">
        <w:trPr>
          <w:cantSplit/>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980F0C2" w14:textId="77777777" w:rsidR="006E60EE" w:rsidRDefault="004E2592">
            <w:pPr>
              <w:spacing w:before="65" w:after="20"/>
              <w:ind w:left="240"/>
            </w:pPr>
            <w:r>
              <w:rPr>
                <w:rFonts w:ascii="Arial" w:eastAsia="Arial" w:hAnsi="Arial" w:cs="Arial"/>
                <w:color w:val="000000"/>
                <w:sz w:val="20"/>
              </w:rPr>
              <w:t>Investments, net of current portion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2A12C6D" w14:textId="77777777" w:rsidR="006E60EE" w:rsidRDefault="004E2592">
            <w:pPr>
              <w:tabs>
                <w:tab w:val="left" w:pos="974"/>
                <w:tab w:val="left" w:pos="1372"/>
              </w:tabs>
              <w:spacing w:before="65" w:after="20"/>
              <w:jc w:val="right"/>
            </w:pPr>
            <w:r>
              <w:rPr>
                <w:rFonts w:ascii="Arial" w:eastAsia="Arial" w:hAnsi="Arial" w:cs="Arial"/>
                <w:color w:val="000000"/>
                <w:sz w:val="20"/>
              </w:rPr>
              <w:tab/>
              <w:t>274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30" w:type="dxa"/>
              <w:bottom w:w="0" w:type="dxa"/>
              <w:right w:w="30" w:type="dxa"/>
            </w:tcMar>
            <w:vAlign w:val="bottom"/>
          </w:tcPr>
          <w:p w14:paraId="3C32254B" w14:textId="77777777" w:rsidR="006E60EE" w:rsidRDefault="006E60EE">
            <w:pPr>
              <w:spacing w:before="65" w:after="2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ACD83F6" w14:textId="77777777" w:rsidR="006E60EE" w:rsidRDefault="004E2592">
            <w:pPr>
              <w:tabs>
                <w:tab w:val="left" w:pos="974"/>
                <w:tab w:val="left" w:pos="1372"/>
              </w:tabs>
              <w:spacing w:before="65" w:after="20"/>
              <w:jc w:val="right"/>
            </w:pPr>
            <w:r>
              <w:rPr>
                <w:rFonts w:ascii="Arial" w:eastAsia="Arial" w:hAnsi="Arial" w:cs="Arial"/>
                <w:color w:val="000000"/>
                <w:sz w:val="20"/>
              </w:rPr>
              <w:tab/>
              <w:t>221</w:t>
            </w:r>
            <w:r>
              <w:rPr>
                <w:rFonts w:ascii="Arial" w:eastAsia="Arial" w:hAnsi="Arial" w:cs="Arial"/>
                <w:color w:val="000000"/>
                <w:sz w:val="20"/>
              </w:rPr>
              <w:tab/>
            </w:r>
          </w:p>
        </w:tc>
      </w:tr>
      <w:tr w:rsidR="006E60EE" w14:paraId="6913A123"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33F5E43D" w14:textId="77777777" w:rsidR="006E60EE" w:rsidRDefault="004E2592">
            <w:pPr>
              <w:spacing w:before="75" w:after="30"/>
              <w:ind w:left="240"/>
            </w:pPr>
            <w:r>
              <w:rPr>
                <w:rFonts w:ascii="Arial" w:eastAsia="Arial" w:hAnsi="Arial" w:cs="Arial"/>
                <w:color w:val="000000"/>
                <w:sz w:val="20"/>
              </w:rPr>
              <w:t>Notes receivable, net of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B41B8BF" w14:textId="77777777" w:rsidR="006E60EE" w:rsidRDefault="004E2592">
            <w:pPr>
              <w:tabs>
                <w:tab w:val="left" w:pos="974"/>
                <w:tab w:val="left" w:pos="1372"/>
              </w:tabs>
              <w:spacing w:before="75" w:after="30"/>
              <w:jc w:val="right"/>
            </w:pPr>
            <w:r>
              <w:rPr>
                <w:rFonts w:ascii="Arial" w:eastAsia="Arial" w:hAnsi="Arial" w:cs="Arial"/>
                <w:color w:val="000000"/>
                <w:sz w:val="20"/>
              </w:rPr>
              <w:tab/>
              <w:t>814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3596742"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7DB09CC" w14:textId="77777777" w:rsidR="006E60EE" w:rsidRDefault="004E2592">
            <w:pPr>
              <w:tabs>
                <w:tab w:val="left" w:pos="974"/>
                <w:tab w:val="left" w:pos="1372"/>
              </w:tabs>
              <w:spacing w:before="75" w:after="30"/>
              <w:jc w:val="right"/>
            </w:pPr>
            <w:r>
              <w:rPr>
                <w:rFonts w:ascii="Arial" w:eastAsia="Arial" w:hAnsi="Arial" w:cs="Arial"/>
                <w:color w:val="000000"/>
                <w:sz w:val="20"/>
              </w:rPr>
              <w:tab/>
              <w:t>814</w:t>
            </w:r>
            <w:r>
              <w:rPr>
                <w:rFonts w:ascii="Arial" w:eastAsia="Arial" w:hAnsi="Arial" w:cs="Arial"/>
                <w:color w:val="000000"/>
                <w:sz w:val="20"/>
              </w:rPr>
              <w:tab/>
            </w:r>
          </w:p>
        </w:tc>
      </w:tr>
      <w:tr w:rsidR="006E60EE" w14:paraId="666A14B5"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119A73D" w14:textId="77777777" w:rsidR="006E60EE" w:rsidRDefault="004E2592">
            <w:pPr>
              <w:spacing w:before="75" w:after="30"/>
              <w:ind w:left="240"/>
            </w:pPr>
            <w:r>
              <w:rPr>
                <w:rFonts w:ascii="Arial" w:eastAsia="Arial" w:hAnsi="Arial" w:cs="Arial"/>
                <w:color w:val="000000"/>
                <w:sz w:val="20"/>
              </w:rPr>
              <w:t>Operating lease right-of-use assets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0319BBD" w14:textId="77777777" w:rsidR="006E60EE" w:rsidRDefault="004E2592">
            <w:pPr>
              <w:tabs>
                <w:tab w:val="left" w:pos="807"/>
                <w:tab w:val="left" w:pos="1372"/>
              </w:tabs>
              <w:spacing w:before="75" w:after="30"/>
              <w:jc w:val="right"/>
            </w:pPr>
            <w:r>
              <w:rPr>
                <w:rFonts w:ascii="Arial" w:eastAsia="Arial" w:hAnsi="Arial" w:cs="Arial"/>
                <w:color w:val="000000"/>
                <w:sz w:val="20"/>
              </w:rPr>
              <w:tab/>
              <w:t>9,456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A306D90"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EE8073A" w14:textId="77777777" w:rsidR="006E60EE" w:rsidRDefault="004E2592">
            <w:pPr>
              <w:tabs>
                <w:tab w:val="left" w:pos="807"/>
                <w:tab w:val="left" w:pos="1372"/>
              </w:tabs>
              <w:spacing w:before="75" w:after="30"/>
              <w:jc w:val="right"/>
            </w:pPr>
            <w:r>
              <w:rPr>
                <w:rFonts w:ascii="Arial" w:eastAsia="Arial" w:hAnsi="Arial" w:cs="Arial"/>
                <w:color w:val="000000"/>
                <w:sz w:val="20"/>
              </w:rPr>
              <w:tab/>
              <w:t>9,716</w:t>
            </w:r>
            <w:r>
              <w:rPr>
                <w:rFonts w:ascii="Arial" w:eastAsia="Arial" w:hAnsi="Arial" w:cs="Arial"/>
                <w:color w:val="000000"/>
                <w:sz w:val="20"/>
              </w:rPr>
              <w:tab/>
            </w:r>
          </w:p>
        </w:tc>
      </w:tr>
      <w:tr w:rsidR="006E60EE" w14:paraId="1CA32B49"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0EA95F64" w14:textId="77777777" w:rsidR="006E60EE" w:rsidRDefault="004E2592">
            <w:pPr>
              <w:spacing w:before="75" w:after="30"/>
              <w:ind w:left="240"/>
            </w:pPr>
            <w:r>
              <w:rPr>
                <w:rFonts w:ascii="Arial" w:eastAsia="Arial" w:hAnsi="Arial" w:cs="Arial"/>
                <w:color w:val="000000"/>
                <w:sz w:val="20"/>
              </w:rPr>
              <w:t>Finance lease right-of-use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2BD2791" w14:textId="77777777" w:rsidR="006E60EE" w:rsidRDefault="004E2592">
            <w:pPr>
              <w:tabs>
                <w:tab w:val="left" w:pos="807"/>
                <w:tab w:val="left" w:pos="1372"/>
              </w:tabs>
              <w:spacing w:before="75" w:after="30"/>
              <w:jc w:val="right"/>
            </w:pPr>
            <w:r>
              <w:rPr>
                <w:rFonts w:ascii="Arial" w:eastAsia="Arial" w:hAnsi="Arial" w:cs="Arial"/>
                <w:color w:val="000000"/>
                <w:sz w:val="20"/>
              </w:rPr>
              <w:tab/>
              <w:t>3,539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DA3ADE7"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B537B05" w14:textId="77777777" w:rsidR="006E60EE" w:rsidRDefault="004E2592">
            <w:pPr>
              <w:tabs>
                <w:tab w:val="left" w:pos="807"/>
                <w:tab w:val="left" w:pos="1372"/>
              </w:tabs>
              <w:spacing w:before="75" w:after="30"/>
              <w:jc w:val="right"/>
            </w:pPr>
            <w:r>
              <w:rPr>
                <w:rFonts w:ascii="Arial" w:eastAsia="Arial" w:hAnsi="Arial" w:cs="Arial"/>
                <w:color w:val="000000"/>
                <w:sz w:val="20"/>
              </w:rPr>
              <w:tab/>
              <w:t>3,295</w:t>
            </w:r>
            <w:r>
              <w:rPr>
                <w:rFonts w:ascii="Arial" w:eastAsia="Arial" w:hAnsi="Arial" w:cs="Arial"/>
                <w:color w:val="000000"/>
                <w:sz w:val="20"/>
              </w:rPr>
              <w:tab/>
            </w:r>
          </w:p>
        </w:tc>
      </w:tr>
      <w:tr w:rsidR="006E60EE" w14:paraId="777B3398"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AC05966" w14:textId="77777777" w:rsidR="006E60EE" w:rsidRDefault="004E2592">
            <w:pPr>
              <w:spacing w:before="75" w:after="30"/>
              <w:ind w:left="240"/>
            </w:pPr>
            <w:r>
              <w:rPr>
                <w:rFonts w:ascii="Arial" w:eastAsia="Arial" w:hAnsi="Arial" w:cs="Arial"/>
                <w:color w:val="000000"/>
                <w:sz w:val="20"/>
              </w:rPr>
              <w:t>Other assets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0327BA5" w14:textId="77777777" w:rsidR="006E60EE" w:rsidRDefault="004E2592">
            <w:pPr>
              <w:tabs>
                <w:tab w:val="left" w:pos="696"/>
                <w:tab w:val="left" w:pos="1372"/>
              </w:tabs>
              <w:spacing w:before="75" w:after="30"/>
              <w:jc w:val="right"/>
            </w:pPr>
            <w:r>
              <w:rPr>
                <w:rFonts w:ascii="Arial" w:eastAsia="Arial" w:hAnsi="Arial" w:cs="Arial"/>
                <w:color w:val="000000"/>
                <w:sz w:val="20"/>
              </w:rPr>
              <w:tab/>
              <w:t>12,958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BBE1766" w14:textId="77777777" w:rsidR="006E60EE" w:rsidRDefault="006E60EE"/>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6946F36" w14:textId="77777777" w:rsidR="006E60EE" w:rsidRDefault="004E2592">
            <w:pPr>
              <w:tabs>
                <w:tab w:val="left" w:pos="696"/>
                <w:tab w:val="left" w:pos="1372"/>
              </w:tabs>
              <w:spacing w:before="75" w:after="30"/>
              <w:jc w:val="right"/>
            </w:pPr>
            <w:r>
              <w:rPr>
                <w:rFonts w:ascii="Arial" w:eastAsia="Arial" w:hAnsi="Arial" w:cs="Arial"/>
                <w:color w:val="000000"/>
                <w:sz w:val="20"/>
              </w:rPr>
              <w:tab/>
              <w:t>12,537</w:t>
            </w:r>
            <w:r>
              <w:rPr>
                <w:rFonts w:ascii="Arial" w:eastAsia="Arial" w:hAnsi="Arial" w:cs="Arial"/>
                <w:color w:val="000000"/>
                <w:sz w:val="20"/>
              </w:rPr>
              <w:tab/>
            </w:r>
          </w:p>
        </w:tc>
      </w:tr>
      <w:tr w:rsidR="006E60EE" w14:paraId="1EB1C3A7"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4C774B46" w14:textId="77777777" w:rsidR="006E60EE" w:rsidRDefault="004E2592">
            <w:pPr>
              <w:spacing w:before="55" w:after="30"/>
              <w:ind w:left="840"/>
            </w:pPr>
            <w:r>
              <w:rPr>
                <w:rFonts w:ascii="Arial" w:eastAsia="Arial" w:hAnsi="Arial" w:cs="Arial"/>
                <w:color w:val="000000"/>
                <w:sz w:val="20"/>
              </w:rPr>
              <w:t>Total assets</w:t>
            </w: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78F9C6A" w14:textId="77777777" w:rsidR="006E60EE" w:rsidRDefault="004E2592">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201,332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B705C21" w14:textId="77777777" w:rsidR="006E60EE" w:rsidRDefault="006E60EE"/>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08B6516" w14:textId="77777777" w:rsidR="006E60EE" w:rsidRDefault="004E2592">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196,123</w:t>
            </w:r>
            <w:r>
              <w:rPr>
                <w:rFonts w:ascii="Arial" w:eastAsia="Arial" w:hAnsi="Arial" w:cs="Arial"/>
                <w:color w:val="000000"/>
                <w:sz w:val="20"/>
              </w:rPr>
              <w:tab/>
            </w:r>
          </w:p>
        </w:tc>
      </w:tr>
      <w:tr w:rsidR="006E60EE" w14:paraId="15475C26"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24AB9C29" w14:textId="77777777" w:rsidR="006E60EE" w:rsidRDefault="004E2592">
            <w:pPr>
              <w:spacing w:before="15" w:after="30"/>
            </w:pPr>
            <w:r>
              <w:rPr>
                <w:rFonts w:ascii="Arial" w:eastAsia="Arial" w:hAnsi="Arial" w:cs="Arial"/>
                <w:color w:val="000000"/>
                <w:sz w:val="20"/>
              </w:rPr>
              <w:t xml:space="preserve"> </w:t>
            </w:r>
          </w:p>
        </w:tc>
        <w:tc>
          <w:tcPr>
            <w:tcW w:w="144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6692971A" w14:textId="77777777" w:rsidR="006E60EE" w:rsidRDefault="004E2592">
            <w:pPr>
              <w:spacing w:before="1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0BBA1DB" w14:textId="77777777" w:rsidR="006E60EE" w:rsidRDefault="006E60EE"/>
        </w:tc>
        <w:tc>
          <w:tcPr>
            <w:tcW w:w="144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93D0721" w14:textId="77777777" w:rsidR="006E60EE" w:rsidRDefault="004E2592">
            <w:pPr>
              <w:spacing w:before="15" w:after="30"/>
              <w:jc w:val="right"/>
            </w:pPr>
            <w:r>
              <w:rPr>
                <w:rFonts w:ascii="Arial" w:eastAsia="Arial" w:hAnsi="Arial" w:cs="Arial"/>
                <w:color w:val="000000"/>
                <w:sz w:val="20"/>
              </w:rPr>
              <w:t xml:space="preserve"> </w:t>
            </w:r>
          </w:p>
        </w:tc>
      </w:tr>
      <w:tr w:rsidR="006E60EE" w14:paraId="609F95A0"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DA6EB81" w14:textId="77777777" w:rsidR="006E60EE" w:rsidRDefault="004E2592">
            <w:pPr>
              <w:spacing w:before="75" w:after="30"/>
            </w:pPr>
            <w:r>
              <w:rPr>
                <w:rFonts w:ascii="Arial" w:eastAsia="Arial" w:hAnsi="Arial" w:cs="Arial"/>
                <w:color w:val="000000"/>
                <w:sz w:val="20"/>
              </w:rPr>
              <w:t>Liabilities, mezzanine equity and stockholders’ equity</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37A59B91" w14:textId="77777777" w:rsidR="006E60EE" w:rsidRDefault="006E60EE"/>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74DCC23"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2E9D38FA" w14:textId="77777777" w:rsidR="006E60EE" w:rsidRDefault="006E60EE"/>
        </w:tc>
      </w:tr>
      <w:tr w:rsidR="006E60EE" w14:paraId="476ED33A"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53C0DEA" w14:textId="77777777" w:rsidR="006E60EE" w:rsidRDefault="004E2592">
            <w:pPr>
              <w:spacing w:before="75" w:after="30"/>
              <w:ind w:left="240"/>
            </w:pPr>
            <w:r>
              <w:rPr>
                <w:rFonts w:ascii="Arial" w:eastAsia="Arial" w:hAnsi="Arial" w:cs="Arial"/>
                <w:color w:val="000000"/>
                <w:sz w:val="20"/>
              </w:rPr>
              <w:t>Current liabilities:</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4BEEAE56" w14:textId="77777777" w:rsidR="006E60EE" w:rsidRDefault="006E60EE"/>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EA2FB67"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6D934FF1" w14:textId="77777777" w:rsidR="006E60EE" w:rsidRDefault="006E60EE"/>
        </w:tc>
      </w:tr>
      <w:tr w:rsidR="006E60EE" w14:paraId="1B5B1F8D"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01AA2986" w14:textId="77777777" w:rsidR="006E60EE" w:rsidRDefault="004E2592">
            <w:pPr>
              <w:spacing w:before="75" w:after="30"/>
              <w:ind w:left="480"/>
            </w:pPr>
            <w:r>
              <w:rPr>
                <w:rFonts w:ascii="Arial" w:eastAsia="Arial" w:hAnsi="Arial" w:cs="Arial"/>
                <w:color w:val="000000"/>
                <w:sz w:val="20"/>
              </w:rPr>
              <w:t>Mortgages and notes payable,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80797CC" w14:textId="77777777" w:rsidR="006E60EE" w:rsidRDefault="004E2592">
            <w:pPr>
              <w:tabs>
                <w:tab w:val="left" w:pos="807"/>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1,057</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6576E10"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326320D" w14:textId="77777777" w:rsidR="006E60EE" w:rsidRDefault="004E2592">
            <w:pPr>
              <w:tabs>
                <w:tab w:val="left" w:pos="974"/>
                <w:tab w:val="left" w:pos="1372"/>
              </w:tabs>
              <w:spacing w:before="75" w:after="30"/>
              <w:jc w:val="right"/>
            </w:pPr>
            <w:r>
              <w:rPr>
                <w:rFonts w:ascii="Arial" w:eastAsia="Arial" w:hAnsi="Arial" w:cs="Arial"/>
                <w:color w:val="000000"/>
                <w:sz w:val="20"/>
              </w:rPr>
              <w:t>$</w:t>
            </w:r>
            <w:r>
              <w:rPr>
                <w:rFonts w:ascii="Arial" w:eastAsia="Arial" w:hAnsi="Arial" w:cs="Arial"/>
                <w:color w:val="000000"/>
                <w:sz w:val="20"/>
              </w:rPr>
              <w:tab/>
              <w:t>723</w:t>
            </w:r>
            <w:r>
              <w:rPr>
                <w:rFonts w:ascii="Arial" w:eastAsia="Arial" w:hAnsi="Arial" w:cs="Arial"/>
                <w:color w:val="000000"/>
                <w:sz w:val="20"/>
              </w:rPr>
              <w:tab/>
            </w:r>
          </w:p>
        </w:tc>
      </w:tr>
      <w:tr w:rsidR="006E60EE" w14:paraId="63469CE0"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1D61D65" w14:textId="77777777" w:rsidR="006E60EE" w:rsidRDefault="004E2592">
            <w:pPr>
              <w:spacing w:before="75" w:after="30"/>
              <w:ind w:left="480"/>
            </w:pPr>
            <w:r>
              <w:rPr>
                <w:rFonts w:ascii="Arial" w:eastAsia="Arial" w:hAnsi="Arial" w:cs="Arial"/>
                <w:color w:val="000000"/>
                <w:sz w:val="20"/>
              </w:rPr>
              <w:t>Accounts payable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E3275DE" w14:textId="77777777" w:rsidR="006E60EE" w:rsidRDefault="004E2592">
            <w:pPr>
              <w:tabs>
                <w:tab w:val="left" w:pos="696"/>
                <w:tab w:val="left" w:pos="1372"/>
              </w:tabs>
              <w:spacing w:before="75" w:after="30"/>
              <w:jc w:val="right"/>
            </w:pPr>
            <w:r>
              <w:rPr>
                <w:rFonts w:ascii="Arial" w:eastAsia="Arial" w:hAnsi="Arial" w:cs="Arial"/>
                <w:color w:val="000000"/>
                <w:sz w:val="20"/>
              </w:rPr>
              <w:tab/>
              <w:t>10,256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0E0BF1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9105981" w14:textId="77777777" w:rsidR="006E60EE" w:rsidRDefault="004E2592">
            <w:pPr>
              <w:tabs>
                <w:tab w:val="left" w:pos="807"/>
                <w:tab w:val="left" w:pos="1372"/>
              </w:tabs>
              <w:spacing w:before="75" w:after="30"/>
              <w:jc w:val="right"/>
            </w:pPr>
            <w:r>
              <w:rPr>
                <w:rFonts w:ascii="Arial" w:eastAsia="Arial" w:hAnsi="Arial" w:cs="Arial"/>
                <w:color w:val="000000"/>
                <w:sz w:val="20"/>
              </w:rPr>
              <w:tab/>
              <w:t>9,001</w:t>
            </w:r>
            <w:r>
              <w:rPr>
                <w:rFonts w:ascii="Arial" w:eastAsia="Arial" w:hAnsi="Arial" w:cs="Arial"/>
                <w:color w:val="000000"/>
                <w:sz w:val="20"/>
              </w:rPr>
              <w:tab/>
            </w:r>
          </w:p>
        </w:tc>
      </w:tr>
      <w:tr w:rsidR="006E60EE" w14:paraId="4CEBE335"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26FD369C" w14:textId="77777777" w:rsidR="006E60EE" w:rsidRDefault="004E2592">
            <w:pPr>
              <w:spacing w:before="75" w:after="30"/>
              <w:ind w:left="480"/>
            </w:pPr>
            <w:r>
              <w:rPr>
                <w:rFonts w:ascii="Arial" w:eastAsia="Arial" w:hAnsi="Arial" w:cs="Arial"/>
                <w:color w:val="000000"/>
                <w:sz w:val="20"/>
              </w:rPr>
              <w:t>Accrued expenses and other</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B24D477" w14:textId="77777777" w:rsidR="006E60EE" w:rsidRDefault="004E2592">
            <w:pPr>
              <w:tabs>
                <w:tab w:val="left" w:pos="807"/>
                <w:tab w:val="left" w:pos="1372"/>
              </w:tabs>
              <w:spacing w:before="75" w:after="30"/>
              <w:jc w:val="right"/>
            </w:pPr>
            <w:r>
              <w:rPr>
                <w:rFonts w:ascii="Arial" w:eastAsia="Arial" w:hAnsi="Arial" w:cs="Arial"/>
                <w:color w:val="000000"/>
                <w:sz w:val="20"/>
              </w:rPr>
              <w:tab/>
              <w:t>4,613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EF7B23F"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F7DECA2" w14:textId="77777777" w:rsidR="006E60EE" w:rsidRDefault="004E2592">
            <w:pPr>
              <w:tabs>
                <w:tab w:val="left" w:pos="807"/>
                <w:tab w:val="left" w:pos="1372"/>
              </w:tabs>
              <w:spacing w:before="75" w:after="30"/>
              <w:jc w:val="right"/>
            </w:pPr>
            <w:r>
              <w:rPr>
                <w:rFonts w:ascii="Arial" w:eastAsia="Arial" w:hAnsi="Arial" w:cs="Arial"/>
                <w:color w:val="000000"/>
                <w:sz w:val="20"/>
              </w:rPr>
              <w:tab/>
              <w:t>3,549</w:t>
            </w:r>
            <w:r>
              <w:rPr>
                <w:rFonts w:ascii="Arial" w:eastAsia="Arial" w:hAnsi="Arial" w:cs="Arial"/>
                <w:color w:val="000000"/>
                <w:sz w:val="20"/>
              </w:rPr>
              <w:tab/>
            </w:r>
          </w:p>
        </w:tc>
      </w:tr>
      <w:tr w:rsidR="006E60EE" w14:paraId="631C8C56"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07858E0" w14:textId="77777777" w:rsidR="006E60EE" w:rsidRDefault="004E2592">
            <w:pPr>
              <w:spacing w:before="75" w:after="30"/>
              <w:ind w:left="480"/>
            </w:pPr>
            <w:r>
              <w:rPr>
                <w:rFonts w:ascii="Arial" w:eastAsia="Arial" w:hAnsi="Arial" w:cs="Arial"/>
                <w:color w:val="000000"/>
                <w:sz w:val="20"/>
              </w:rPr>
              <w:t>Income taxes payable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3F63D13" w14:textId="77777777" w:rsidR="006E60EE" w:rsidRDefault="004E2592">
            <w:pPr>
              <w:tabs>
                <w:tab w:val="left" w:pos="696"/>
                <w:tab w:val="left" w:pos="1372"/>
              </w:tabs>
              <w:spacing w:before="75" w:after="30"/>
              <w:jc w:val="right"/>
            </w:pPr>
            <w:r>
              <w:rPr>
                <w:rFonts w:ascii="Arial" w:eastAsia="Arial" w:hAnsi="Arial" w:cs="Arial"/>
                <w:color w:val="000000"/>
                <w:sz w:val="20"/>
              </w:rPr>
              <w:tab/>
              <w:t>16,271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891E87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09083C9" w14:textId="77777777" w:rsidR="006E60EE" w:rsidRDefault="004E2592">
            <w:pPr>
              <w:tabs>
                <w:tab w:val="left" w:pos="696"/>
                <w:tab w:val="left" w:pos="1372"/>
              </w:tabs>
              <w:spacing w:before="75" w:after="30"/>
              <w:jc w:val="right"/>
            </w:pPr>
            <w:r>
              <w:rPr>
                <w:rFonts w:ascii="Arial" w:eastAsia="Arial" w:hAnsi="Arial" w:cs="Arial"/>
                <w:color w:val="000000"/>
                <w:sz w:val="20"/>
              </w:rPr>
              <w:tab/>
              <w:t>14,434</w:t>
            </w:r>
            <w:r>
              <w:rPr>
                <w:rFonts w:ascii="Arial" w:eastAsia="Arial" w:hAnsi="Arial" w:cs="Arial"/>
                <w:color w:val="000000"/>
                <w:sz w:val="20"/>
              </w:rPr>
              <w:tab/>
            </w:r>
          </w:p>
        </w:tc>
      </w:tr>
      <w:tr w:rsidR="006E60EE" w14:paraId="71346B12"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5940A2AC" w14:textId="77777777" w:rsidR="006E60EE" w:rsidRDefault="004E2592">
            <w:pPr>
              <w:spacing w:before="75" w:after="30"/>
              <w:ind w:left="480"/>
            </w:pPr>
            <w:r>
              <w:rPr>
                <w:rFonts w:ascii="Arial" w:eastAsia="Arial" w:hAnsi="Arial" w:cs="Arial"/>
                <w:color w:val="000000"/>
                <w:sz w:val="20"/>
              </w:rPr>
              <w:t>Operating lease liabilities,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FAD7BC0" w14:textId="77777777" w:rsidR="006E60EE" w:rsidRDefault="004E2592">
            <w:pPr>
              <w:tabs>
                <w:tab w:val="left" w:pos="807"/>
                <w:tab w:val="left" w:pos="1372"/>
              </w:tabs>
              <w:spacing w:before="75" w:after="30"/>
              <w:jc w:val="right"/>
            </w:pPr>
            <w:r>
              <w:rPr>
                <w:rFonts w:ascii="Arial" w:eastAsia="Arial" w:hAnsi="Arial" w:cs="Arial"/>
                <w:color w:val="000000"/>
                <w:sz w:val="20"/>
              </w:rPr>
              <w:tab/>
              <w:t>1,955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D71315E"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A7FBAF7" w14:textId="77777777" w:rsidR="006E60EE" w:rsidRDefault="004E2592">
            <w:pPr>
              <w:tabs>
                <w:tab w:val="left" w:pos="807"/>
                <w:tab w:val="left" w:pos="1372"/>
              </w:tabs>
              <w:spacing w:before="75" w:after="30"/>
              <w:jc w:val="right"/>
            </w:pPr>
            <w:r>
              <w:rPr>
                <w:rFonts w:ascii="Arial" w:eastAsia="Arial" w:hAnsi="Arial" w:cs="Arial"/>
                <w:color w:val="000000"/>
                <w:sz w:val="20"/>
              </w:rPr>
              <w:tab/>
              <w:t>1,945</w:t>
            </w:r>
            <w:r>
              <w:rPr>
                <w:rFonts w:ascii="Arial" w:eastAsia="Arial" w:hAnsi="Arial" w:cs="Arial"/>
                <w:color w:val="000000"/>
                <w:sz w:val="20"/>
              </w:rPr>
              <w:tab/>
            </w:r>
          </w:p>
        </w:tc>
      </w:tr>
      <w:tr w:rsidR="006E60EE" w14:paraId="2625E17D"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02FC8D79" w14:textId="77777777" w:rsidR="006E60EE" w:rsidRDefault="004E2592">
            <w:pPr>
              <w:spacing w:before="75" w:after="30"/>
              <w:ind w:left="480"/>
            </w:pPr>
            <w:r>
              <w:rPr>
                <w:rFonts w:ascii="Arial" w:eastAsia="Arial" w:hAnsi="Arial" w:cs="Arial"/>
                <w:color w:val="000000"/>
                <w:sz w:val="20"/>
              </w:rPr>
              <w:t>Finance lease liabilities, current portion</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DCC1F38" w14:textId="77777777" w:rsidR="006E60EE" w:rsidRDefault="004E2592">
            <w:pPr>
              <w:tabs>
                <w:tab w:val="left" w:pos="807"/>
                <w:tab w:val="left" w:pos="1372"/>
              </w:tabs>
              <w:spacing w:before="75" w:after="30"/>
              <w:jc w:val="right"/>
            </w:pPr>
            <w:r>
              <w:rPr>
                <w:rFonts w:ascii="Arial" w:eastAsia="Arial" w:hAnsi="Arial" w:cs="Arial"/>
                <w:color w:val="000000"/>
                <w:sz w:val="20"/>
              </w:rPr>
              <w:tab/>
              <w:t>1,303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AD66D08" w14:textId="77777777" w:rsidR="006E60EE" w:rsidRDefault="006E60EE"/>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F219389" w14:textId="77777777" w:rsidR="006E60EE" w:rsidRDefault="004E2592">
            <w:pPr>
              <w:tabs>
                <w:tab w:val="left" w:pos="807"/>
                <w:tab w:val="left" w:pos="1372"/>
              </w:tabs>
              <w:spacing w:before="75" w:after="30"/>
              <w:jc w:val="right"/>
            </w:pPr>
            <w:r>
              <w:rPr>
                <w:rFonts w:ascii="Arial" w:eastAsia="Arial" w:hAnsi="Arial" w:cs="Arial"/>
                <w:color w:val="000000"/>
                <w:sz w:val="20"/>
              </w:rPr>
              <w:tab/>
              <w:t>1,210</w:t>
            </w:r>
            <w:r>
              <w:rPr>
                <w:rFonts w:ascii="Arial" w:eastAsia="Arial" w:hAnsi="Arial" w:cs="Arial"/>
                <w:color w:val="000000"/>
                <w:sz w:val="20"/>
              </w:rPr>
              <w:tab/>
            </w:r>
          </w:p>
        </w:tc>
      </w:tr>
      <w:tr w:rsidR="006E60EE" w14:paraId="4850025D"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16482F69" w14:textId="77777777" w:rsidR="006E60EE" w:rsidRDefault="004E2592">
            <w:pPr>
              <w:spacing w:before="55" w:after="30"/>
              <w:ind w:left="720"/>
            </w:pPr>
            <w:r>
              <w:rPr>
                <w:rFonts w:ascii="Arial" w:eastAsia="Arial" w:hAnsi="Arial" w:cs="Arial"/>
                <w:color w:val="000000"/>
                <w:sz w:val="20"/>
              </w:rPr>
              <w:t>Total current liabilities</w:t>
            </w: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A4F8F0E" w14:textId="77777777" w:rsidR="006E60EE" w:rsidRDefault="004E2592">
            <w:pPr>
              <w:tabs>
                <w:tab w:val="left" w:pos="696"/>
                <w:tab w:val="left" w:pos="1372"/>
              </w:tabs>
              <w:spacing w:before="55" w:after="30"/>
              <w:jc w:val="right"/>
            </w:pPr>
            <w:r>
              <w:rPr>
                <w:rFonts w:ascii="Arial" w:eastAsia="Arial" w:hAnsi="Arial" w:cs="Arial"/>
                <w:color w:val="000000"/>
                <w:sz w:val="20"/>
              </w:rPr>
              <w:tab/>
              <w:t>35,455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93009F8"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2FB2891" w14:textId="77777777" w:rsidR="006E60EE" w:rsidRDefault="004E2592">
            <w:pPr>
              <w:tabs>
                <w:tab w:val="left" w:pos="696"/>
                <w:tab w:val="left" w:pos="1372"/>
              </w:tabs>
              <w:spacing w:before="55" w:after="30"/>
              <w:jc w:val="right"/>
            </w:pPr>
            <w:r>
              <w:rPr>
                <w:rFonts w:ascii="Arial" w:eastAsia="Arial" w:hAnsi="Arial" w:cs="Arial"/>
                <w:color w:val="000000"/>
                <w:sz w:val="20"/>
              </w:rPr>
              <w:tab/>
              <w:t>30,862</w:t>
            </w:r>
            <w:r>
              <w:rPr>
                <w:rFonts w:ascii="Arial" w:eastAsia="Arial" w:hAnsi="Arial" w:cs="Arial"/>
                <w:color w:val="000000"/>
                <w:sz w:val="20"/>
              </w:rPr>
              <w:tab/>
            </w:r>
          </w:p>
        </w:tc>
      </w:tr>
      <w:tr w:rsidR="006E60EE" w14:paraId="56C614DC"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07792C3" w14:textId="77777777" w:rsidR="006E60EE" w:rsidRDefault="004E2592">
            <w:pPr>
              <w:spacing w:before="75" w:after="30"/>
              <w:ind w:left="240"/>
            </w:pPr>
            <w:r>
              <w:rPr>
                <w:rFonts w:ascii="Arial" w:eastAsia="Arial" w:hAnsi="Arial" w:cs="Arial"/>
                <w:color w:val="000000"/>
                <w:sz w:val="20"/>
              </w:rPr>
              <w:t>Mortgages and notes payable, net of current portion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64608AC" w14:textId="77777777" w:rsidR="006E60EE" w:rsidRDefault="004E2592">
            <w:pPr>
              <w:tabs>
                <w:tab w:val="left" w:pos="696"/>
                <w:tab w:val="left" w:pos="1372"/>
              </w:tabs>
              <w:spacing w:before="75" w:after="30"/>
              <w:jc w:val="right"/>
            </w:pPr>
            <w:r>
              <w:rPr>
                <w:rFonts w:ascii="Arial" w:eastAsia="Arial" w:hAnsi="Arial" w:cs="Arial"/>
                <w:color w:val="000000"/>
                <w:sz w:val="20"/>
              </w:rPr>
              <w:tab/>
              <w:t>67,448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7C7936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E6F16B0" w14:textId="77777777" w:rsidR="006E60EE" w:rsidRDefault="004E2592">
            <w:pPr>
              <w:tabs>
                <w:tab w:val="left" w:pos="696"/>
                <w:tab w:val="left" w:pos="1372"/>
              </w:tabs>
              <w:spacing w:before="75" w:after="30"/>
              <w:jc w:val="right"/>
            </w:pPr>
            <w:r>
              <w:rPr>
                <w:rFonts w:ascii="Arial" w:eastAsia="Arial" w:hAnsi="Arial" w:cs="Arial"/>
                <w:color w:val="000000"/>
                <w:sz w:val="20"/>
              </w:rPr>
              <w:tab/>
              <w:t>65,652</w:t>
            </w:r>
            <w:r>
              <w:rPr>
                <w:rFonts w:ascii="Arial" w:eastAsia="Arial" w:hAnsi="Arial" w:cs="Arial"/>
                <w:color w:val="000000"/>
                <w:sz w:val="20"/>
              </w:rPr>
              <w:tab/>
            </w:r>
          </w:p>
        </w:tc>
      </w:tr>
      <w:tr w:rsidR="006E60EE" w14:paraId="69EFF1D5"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081B1B3C" w14:textId="77777777" w:rsidR="006E60EE" w:rsidRDefault="004E2592">
            <w:pPr>
              <w:spacing w:before="75" w:after="30"/>
              <w:ind w:left="240"/>
            </w:pPr>
            <w:r>
              <w:rPr>
                <w:rFonts w:ascii="Arial" w:eastAsia="Arial" w:hAnsi="Arial" w:cs="Arial"/>
                <w:color w:val="000000"/>
                <w:sz w:val="20"/>
              </w:rPr>
              <w:t>Operating lease liabilities, net of current portion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2F08213" w14:textId="77777777" w:rsidR="006E60EE" w:rsidRDefault="004E2592">
            <w:pPr>
              <w:tabs>
                <w:tab w:val="left" w:pos="807"/>
                <w:tab w:val="left" w:pos="1372"/>
              </w:tabs>
              <w:spacing w:before="75" w:after="30"/>
              <w:jc w:val="right"/>
            </w:pPr>
            <w:r>
              <w:rPr>
                <w:rFonts w:ascii="Arial" w:eastAsia="Arial" w:hAnsi="Arial" w:cs="Arial"/>
                <w:color w:val="000000"/>
                <w:sz w:val="20"/>
              </w:rPr>
              <w:tab/>
              <w:t>8,218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FBACC00"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C30DF36" w14:textId="77777777" w:rsidR="006E60EE" w:rsidRDefault="004E2592">
            <w:pPr>
              <w:tabs>
                <w:tab w:val="left" w:pos="807"/>
                <w:tab w:val="left" w:pos="1372"/>
              </w:tabs>
              <w:spacing w:before="75" w:after="30"/>
              <w:jc w:val="right"/>
            </w:pPr>
            <w:r>
              <w:rPr>
                <w:rFonts w:ascii="Arial" w:eastAsia="Arial" w:hAnsi="Arial" w:cs="Arial"/>
                <w:color w:val="000000"/>
                <w:sz w:val="20"/>
              </w:rPr>
              <w:tab/>
              <w:t>8,455</w:t>
            </w:r>
            <w:r>
              <w:rPr>
                <w:rFonts w:ascii="Arial" w:eastAsia="Arial" w:hAnsi="Arial" w:cs="Arial"/>
                <w:color w:val="000000"/>
                <w:sz w:val="20"/>
              </w:rPr>
              <w:tab/>
            </w:r>
          </w:p>
        </w:tc>
      </w:tr>
      <w:tr w:rsidR="006E60EE" w14:paraId="1E920B99"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51D62B4" w14:textId="77777777" w:rsidR="006E60EE" w:rsidRDefault="004E2592">
            <w:pPr>
              <w:spacing w:before="75" w:after="30"/>
              <w:ind w:left="240"/>
            </w:pPr>
            <w:r>
              <w:rPr>
                <w:rFonts w:ascii="Arial" w:eastAsia="Arial" w:hAnsi="Arial" w:cs="Arial"/>
                <w:color w:val="000000"/>
                <w:sz w:val="20"/>
              </w:rPr>
              <w:t>Finance lease liabilities, net of current portion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3606390" w14:textId="77777777" w:rsidR="006E60EE" w:rsidRDefault="004E2592">
            <w:pPr>
              <w:tabs>
                <w:tab w:val="left" w:pos="807"/>
                <w:tab w:val="left" w:pos="1372"/>
              </w:tabs>
              <w:spacing w:before="75" w:after="30"/>
              <w:jc w:val="right"/>
            </w:pPr>
            <w:r>
              <w:rPr>
                <w:rFonts w:ascii="Arial" w:eastAsia="Arial" w:hAnsi="Arial" w:cs="Arial"/>
                <w:color w:val="000000"/>
                <w:sz w:val="20"/>
              </w:rPr>
              <w:tab/>
              <w:t>2,290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3D872C9"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1B8834E" w14:textId="77777777" w:rsidR="006E60EE" w:rsidRDefault="004E2592">
            <w:pPr>
              <w:tabs>
                <w:tab w:val="left" w:pos="807"/>
                <w:tab w:val="left" w:pos="1372"/>
              </w:tabs>
              <w:spacing w:before="75" w:after="30"/>
              <w:jc w:val="right"/>
            </w:pPr>
            <w:r>
              <w:rPr>
                <w:rFonts w:ascii="Arial" w:eastAsia="Arial" w:hAnsi="Arial" w:cs="Arial"/>
                <w:color w:val="000000"/>
                <w:sz w:val="20"/>
              </w:rPr>
              <w:tab/>
              <w:t>2,140</w:t>
            </w:r>
            <w:r>
              <w:rPr>
                <w:rFonts w:ascii="Arial" w:eastAsia="Arial" w:hAnsi="Arial" w:cs="Arial"/>
                <w:color w:val="000000"/>
                <w:sz w:val="20"/>
              </w:rPr>
              <w:tab/>
            </w:r>
          </w:p>
        </w:tc>
      </w:tr>
      <w:tr w:rsidR="006E60EE" w14:paraId="7610A0DB"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63D3B244" w14:textId="77777777" w:rsidR="006E60EE" w:rsidRDefault="004E2592">
            <w:pPr>
              <w:spacing w:before="75" w:after="30"/>
              <w:ind w:left="240"/>
            </w:pPr>
            <w:r>
              <w:rPr>
                <w:rFonts w:ascii="Arial" w:eastAsia="Arial" w:hAnsi="Arial" w:cs="Arial"/>
                <w:color w:val="000000"/>
                <w:sz w:val="20"/>
              </w:rPr>
              <w:t>Other liabilities</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6AC8B3" w14:textId="77777777" w:rsidR="006E60EE" w:rsidRDefault="004E2592">
            <w:pPr>
              <w:tabs>
                <w:tab w:val="left" w:pos="974"/>
                <w:tab w:val="left" w:pos="1372"/>
              </w:tabs>
              <w:spacing w:before="75" w:after="30"/>
              <w:jc w:val="right"/>
            </w:pPr>
            <w:r>
              <w:rPr>
                <w:rFonts w:ascii="Arial" w:eastAsia="Arial" w:hAnsi="Arial" w:cs="Arial"/>
                <w:color w:val="000000"/>
                <w:sz w:val="20"/>
              </w:rPr>
              <w:tab/>
              <w:t>100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AA24761" w14:textId="77777777" w:rsidR="006E60EE" w:rsidRDefault="006E60EE"/>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99319A" w14:textId="77777777" w:rsidR="006E60EE" w:rsidRDefault="004E2592">
            <w:pPr>
              <w:tabs>
                <w:tab w:val="left" w:pos="974"/>
                <w:tab w:val="left" w:pos="1372"/>
              </w:tabs>
              <w:spacing w:before="75" w:after="30"/>
              <w:jc w:val="right"/>
            </w:pPr>
            <w:r>
              <w:rPr>
                <w:rFonts w:ascii="Arial" w:eastAsia="Arial" w:hAnsi="Arial" w:cs="Arial"/>
                <w:color w:val="000000"/>
                <w:sz w:val="20"/>
              </w:rPr>
              <w:tab/>
              <w:t>100</w:t>
            </w:r>
            <w:r>
              <w:rPr>
                <w:rFonts w:ascii="Arial" w:eastAsia="Arial" w:hAnsi="Arial" w:cs="Arial"/>
                <w:color w:val="000000"/>
                <w:sz w:val="20"/>
              </w:rPr>
              <w:tab/>
            </w:r>
          </w:p>
        </w:tc>
      </w:tr>
      <w:tr w:rsidR="006E60EE" w14:paraId="05B2795A"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76F7EF6F" w14:textId="77777777" w:rsidR="006E60EE" w:rsidRDefault="004E2592">
            <w:pPr>
              <w:spacing w:before="55" w:after="30"/>
              <w:ind w:left="720"/>
            </w:pPr>
            <w:r>
              <w:rPr>
                <w:rFonts w:ascii="Arial" w:eastAsia="Arial" w:hAnsi="Arial" w:cs="Arial"/>
                <w:color w:val="000000"/>
                <w:sz w:val="20"/>
              </w:rPr>
              <w:t>Total liabilities</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0A97B86" w14:textId="77777777" w:rsidR="006E60EE" w:rsidRDefault="004E2592">
            <w:pPr>
              <w:tabs>
                <w:tab w:val="left" w:pos="585"/>
                <w:tab w:val="left" w:pos="1372"/>
              </w:tabs>
              <w:spacing w:before="55" w:after="30"/>
              <w:jc w:val="right"/>
            </w:pPr>
            <w:r>
              <w:rPr>
                <w:rFonts w:ascii="Arial" w:eastAsia="Arial" w:hAnsi="Arial" w:cs="Arial"/>
                <w:color w:val="000000"/>
                <w:sz w:val="20"/>
              </w:rPr>
              <w:tab/>
              <w:t>113,511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0F48372" w14:textId="77777777" w:rsidR="006E60EE" w:rsidRDefault="006E60EE"/>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F6375FE" w14:textId="77777777" w:rsidR="006E60EE" w:rsidRDefault="004E2592">
            <w:pPr>
              <w:tabs>
                <w:tab w:val="left" w:pos="585"/>
                <w:tab w:val="left" w:pos="1372"/>
              </w:tabs>
              <w:spacing w:before="55" w:after="30"/>
              <w:jc w:val="right"/>
            </w:pPr>
            <w:r>
              <w:rPr>
                <w:rFonts w:ascii="Arial" w:eastAsia="Arial" w:hAnsi="Arial" w:cs="Arial"/>
                <w:color w:val="000000"/>
                <w:sz w:val="20"/>
              </w:rPr>
              <w:tab/>
              <w:t>107,209</w:t>
            </w:r>
            <w:r>
              <w:rPr>
                <w:rFonts w:ascii="Arial" w:eastAsia="Arial" w:hAnsi="Arial" w:cs="Arial"/>
                <w:color w:val="000000"/>
                <w:sz w:val="20"/>
              </w:rPr>
              <w:tab/>
            </w:r>
          </w:p>
        </w:tc>
      </w:tr>
      <w:tr w:rsidR="006E60EE" w14:paraId="10CE1327" w14:textId="77777777">
        <w:trPr>
          <w:cantSplit/>
          <w:trHeight w:hRule="exact" w:val="285"/>
          <w:jc w:val="center"/>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2AE630A3"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BE4A6DE"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DE281B1"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596447C" w14:textId="77777777" w:rsidR="006E60EE" w:rsidRDefault="004E2592">
            <w:pPr>
              <w:spacing w:before="55" w:after="30"/>
              <w:jc w:val="right"/>
            </w:pPr>
            <w:r>
              <w:rPr>
                <w:rFonts w:ascii="Arial" w:eastAsia="Arial" w:hAnsi="Arial" w:cs="Arial"/>
                <w:color w:val="000000"/>
                <w:sz w:val="20"/>
              </w:rPr>
              <w:t xml:space="preserve"> </w:t>
            </w:r>
          </w:p>
        </w:tc>
      </w:tr>
      <w:tr w:rsidR="006E60EE" w14:paraId="433812CE"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CC18B4B" w14:textId="77777777" w:rsidR="006E60EE" w:rsidRDefault="004E2592">
            <w:pPr>
              <w:spacing w:before="75" w:after="30"/>
            </w:pPr>
            <w:r>
              <w:rPr>
                <w:rFonts w:ascii="Arial" w:eastAsia="Arial" w:hAnsi="Arial" w:cs="Arial"/>
                <w:color w:val="000000"/>
                <w:sz w:val="20"/>
              </w:rPr>
              <w:t>Commitments and contingencies</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3809AB11" w14:textId="77777777" w:rsidR="006E60EE" w:rsidRDefault="006E60EE"/>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5F47773"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6E977388" w14:textId="77777777" w:rsidR="006E60EE" w:rsidRDefault="006E60EE"/>
        </w:tc>
      </w:tr>
      <w:tr w:rsidR="006E60EE" w14:paraId="3FF60FA7" w14:textId="77777777">
        <w:trPr>
          <w:cantSplit/>
          <w:trHeight w:hRule="exact" w:val="285"/>
          <w:jc w:val="center"/>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59363FFA"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1413D2E" w14:textId="77777777" w:rsidR="006E60EE" w:rsidRDefault="004E2592">
            <w:pPr>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ED4BBA5"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22F69AF" w14:textId="77777777" w:rsidR="006E60EE" w:rsidRDefault="004E2592">
            <w:pPr>
              <w:spacing w:before="75" w:after="30"/>
              <w:jc w:val="right"/>
            </w:pPr>
            <w:r>
              <w:rPr>
                <w:rFonts w:ascii="Arial" w:eastAsia="Arial" w:hAnsi="Arial" w:cs="Arial"/>
                <w:color w:val="000000"/>
                <w:sz w:val="20"/>
              </w:rPr>
              <w:t xml:space="preserve"> </w:t>
            </w:r>
          </w:p>
        </w:tc>
      </w:tr>
      <w:tr w:rsidR="006E60EE" w14:paraId="4E79DA08"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5DC35288" w14:textId="77777777" w:rsidR="006E60EE" w:rsidRDefault="004E2592">
            <w:pPr>
              <w:spacing w:before="75" w:after="30"/>
            </w:pPr>
            <w:r>
              <w:rPr>
                <w:rFonts w:ascii="Arial" w:eastAsia="Arial" w:hAnsi="Arial" w:cs="Arial"/>
                <w:color w:val="000000"/>
                <w:sz w:val="20"/>
              </w:rPr>
              <w:t>Mezzanine equity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9421595" w14:textId="77777777" w:rsidR="006E60EE" w:rsidRDefault="004E2592">
            <w:pPr>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42B75D"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5815A82" w14:textId="77777777" w:rsidR="006E60EE" w:rsidRDefault="004E2592">
            <w:pPr>
              <w:spacing w:before="75" w:after="30"/>
              <w:jc w:val="right"/>
            </w:pPr>
            <w:r>
              <w:rPr>
                <w:rFonts w:ascii="Arial" w:eastAsia="Arial" w:hAnsi="Arial" w:cs="Arial"/>
                <w:color w:val="000000"/>
                <w:sz w:val="20"/>
              </w:rPr>
              <w:t xml:space="preserve"> </w:t>
            </w:r>
          </w:p>
        </w:tc>
      </w:tr>
      <w:tr w:rsidR="006E60EE" w14:paraId="47FFE8F9"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33AE5693" w14:textId="77777777" w:rsidR="006E60EE" w:rsidRDefault="004E2592">
            <w:pPr>
              <w:spacing w:before="75" w:after="30"/>
              <w:ind w:left="240"/>
            </w:pPr>
            <w:r>
              <w:rPr>
                <w:rFonts w:ascii="Arial" w:eastAsia="Arial" w:hAnsi="Arial" w:cs="Arial"/>
                <w:color w:val="000000"/>
                <w:sz w:val="20"/>
              </w:rPr>
              <w:t>Series B convertible preferred stock</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23C0DEF" w14:textId="77777777" w:rsidR="006E60EE" w:rsidRDefault="004E2592">
            <w:pPr>
              <w:tabs>
                <w:tab w:val="left" w:pos="696"/>
                <w:tab w:val="left" w:pos="1372"/>
              </w:tabs>
              <w:spacing w:before="75" w:after="30"/>
              <w:jc w:val="right"/>
            </w:pPr>
            <w:r>
              <w:rPr>
                <w:rFonts w:ascii="Arial" w:eastAsia="Arial" w:hAnsi="Arial" w:cs="Arial"/>
                <w:color w:val="000000"/>
                <w:sz w:val="20"/>
              </w:rPr>
              <w:tab/>
              <w:t>14,725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EF5D13"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DD24DD0" w14:textId="77777777" w:rsidR="006E60EE" w:rsidRDefault="004E2592">
            <w:pPr>
              <w:tabs>
                <w:tab w:val="left" w:pos="696"/>
                <w:tab w:val="left" w:pos="1372"/>
              </w:tabs>
              <w:spacing w:before="75" w:after="30"/>
              <w:jc w:val="right"/>
            </w:pPr>
            <w:r>
              <w:rPr>
                <w:rFonts w:ascii="Arial" w:eastAsia="Arial" w:hAnsi="Arial" w:cs="Arial"/>
                <w:color w:val="000000"/>
                <w:sz w:val="20"/>
              </w:rPr>
              <w:tab/>
              <w:t>14,725</w:t>
            </w:r>
            <w:r>
              <w:rPr>
                <w:rFonts w:ascii="Arial" w:eastAsia="Arial" w:hAnsi="Arial" w:cs="Arial"/>
                <w:color w:val="000000"/>
                <w:sz w:val="20"/>
              </w:rPr>
              <w:tab/>
            </w:r>
          </w:p>
        </w:tc>
      </w:tr>
      <w:tr w:rsidR="006E60EE" w14:paraId="32F71EDC"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3F996C14" w14:textId="77777777" w:rsidR="006E60EE" w:rsidRDefault="004E2592">
            <w:pPr>
              <w:spacing w:before="75" w:after="30"/>
              <w:ind w:left="240"/>
            </w:pPr>
            <w:r>
              <w:rPr>
                <w:rFonts w:ascii="Arial" w:eastAsia="Arial" w:hAnsi="Arial" w:cs="Arial"/>
                <w:color w:val="000000"/>
                <w:sz w:val="20"/>
              </w:rPr>
              <w:t>Series C convertible preferred stock</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D40A03" w14:textId="77777777" w:rsidR="006E60EE" w:rsidRDefault="004E2592">
            <w:pPr>
              <w:tabs>
                <w:tab w:val="left" w:pos="807"/>
                <w:tab w:val="left" w:pos="1372"/>
              </w:tabs>
              <w:spacing w:before="75" w:after="30"/>
              <w:jc w:val="right"/>
            </w:pPr>
            <w:r>
              <w:rPr>
                <w:rFonts w:ascii="Arial" w:eastAsia="Arial" w:hAnsi="Arial" w:cs="Arial"/>
                <w:color w:val="000000"/>
                <w:sz w:val="20"/>
              </w:rPr>
              <w:tab/>
              <w:t>4,275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9111A0" w14:textId="77777777" w:rsidR="006E60EE" w:rsidRDefault="006E60EE"/>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5DD668" w14:textId="77777777" w:rsidR="006E60EE" w:rsidRDefault="004E2592">
            <w:pPr>
              <w:tabs>
                <w:tab w:val="left" w:pos="807"/>
                <w:tab w:val="left" w:pos="1372"/>
              </w:tabs>
              <w:spacing w:before="75" w:after="30"/>
              <w:jc w:val="right"/>
            </w:pPr>
            <w:r>
              <w:rPr>
                <w:rFonts w:ascii="Arial" w:eastAsia="Arial" w:hAnsi="Arial" w:cs="Arial"/>
                <w:color w:val="000000"/>
                <w:sz w:val="20"/>
              </w:rPr>
              <w:tab/>
              <w:t>4,275</w:t>
            </w:r>
            <w:r>
              <w:rPr>
                <w:rFonts w:ascii="Arial" w:eastAsia="Arial" w:hAnsi="Arial" w:cs="Arial"/>
                <w:color w:val="000000"/>
                <w:sz w:val="20"/>
              </w:rPr>
              <w:tab/>
            </w:r>
          </w:p>
        </w:tc>
      </w:tr>
      <w:tr w:rsidR="006E60EE" w14:paraId="3C1278C9"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4D67B7E9" w14:textId="77777777" w:rsidR="006E60EE" w:rsidRDefault="004E2592">
            <w:pPr>
              <w:spacing w:before="55" w:after="30"/>
              <w:ind w:left="720"/>
            </w:pPr>
            <w:r>
              <w:rPr>
                <w:rFonts w:ascii="Arial" w:eastAsia="Arial" w:hAnsi="Arial" w:cs="Arial"/>
                <w:color w:val="000000"/>
                <w:sz w:val="20"/>
              </w:rPr>
              <w:t>Total mezzanine equity</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F074541" w14:textId="77777777" w:rsidR="006E60EE" w:rsidRDefault="004E2592">
            <w:pPr>
              <w:tabs>
                <w:tab w:val="left" w:pos="696"/>
                <w:tab w:val="left" w:pos="1372"/>
              </w:tabs>
              <w:spacing w:before="55" w:after="30"/>
              <w:jc w:val="right"/>
            </w:pPr>
            <w:r>
              <w:rPr>
                <w:rFonts w:ascii="Arial" w:eastAsia="Arial" w:hAnsi="Arial" w:cs="Arial"/>
                <w:color w:val="000000"/>
                <w:sz w:val="20"/>
              </w:rPr>
              <w:tab/>
              <w:t>19,000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F89FC2" w14:textId="77777777" w:rsidR="006E60EE" w:rsidRDefault="006E60EE"/>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115CAD2" w14:textId="77777777" w:rsidR="006E60EE" w:rsidRDefault="004E2592">
            <w:pPr>
              <w:tabs>
                <w:tab w:val="left" w:pos="696"/>
                <w:tab w:val="left" w:pos="1372"/>
              </w:tabs>
              <w:spacing w:before="55" w:after="30"/>
              <w:jc w:val="right"/>
            </w:pPr>
            <w:r>
              <w:rPr>
                <w:rFonts w:ascii="Arial" w:eastAsia="Arial" w:hAnsi="Arial" w:cs="Arial"/>
                <w:color w:val="000000"/>
                <w:sz w:val="20"/>
              </w:rPr>
              <w:tab/>
              <w:t>19,000</w:t>
            </w:r>
            <w:r>
              <w:rPr>
                <w:rFonts w:ascii="Arial" w:eastAsia="Arial" w:hAnsi="Arial" w:cs="Arial"/>
                <w:color w:val="000000"/>
                <w:sz w:val="20"/>
              </w:rPr>
              <w:tab/>
            </w:r>
          </w:p>
        </w:tc>
      </w:tr>
      <w:tr w:rsidR="006E60EE" w14:paraId="029FE4AF" w14:textId="77777777">
        <w:trPr>
          <w:cantSplit/>
          <w:trHeight w:hRule="exact" w:val="285"/>
          <w:jc w:val="center"/>
        </w:trPr>
        <w:tc>
          <w:tcPr>
            <w:tcW w:w="6960" w:type="dxa"/>
            <w:tcBorders>
              <w:top w:val="nil"/>
              <w:left w:val="nil"/>
              <w:bottom w:val="nil"/>
              <w:right w:val="nil"/>
            </w:tcBorders>
            <w:shd w:val="clear" w:color="auto" w:fill="CCEEFF"/>
            <w:tcMar>
              <w:top w:w="0" w:type="dxa"/>
              <w:left w:w="0" w:type="dxa"/>
              <w:bottom w:w="0" w:type="dxa"/>
              <w:right w:w="0" w:type="dxa"/>
            </w:tcMar>
            <w:vAlign w:val="bottom"/>
          </w:tcPr>
          <w:p w14:paraId="2BB08E17"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F47C9D8"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1733DD"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52DA1AB" w14:textId="77777777" w:rsidR="006E60EE" w:rsidRDefault="004E2592">
            <w:pPr>
              <w:spacing w:before="55" w:after="30"/>
              <w:jc w:val="right"/>
            </w:pPr>
            <w:r>
              <w:rPr>
                <w:rFonts w:ascii="Arial" w:eastAsia="Arial" w:hAnsi="Arial" w:cs="Arial"/>
                <w:color w:val="000000"/>
                <w:sz w:val="20"/>
              </w:rPr>
              <w:t xml:space="preserve"> </w:t>
            </w:r>
          </w:p>
        </w:tc>
      </w:tr>
      <w:tr w:rsidR="006E60EE" w14:paraId="530055E1"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4B14AC98" w14:textId="77777777" w:rsidR="006E60EE" w:rsidRDefault="004E2592">
            <w:pPr>
              <w:spacing w:before="75" w:after="30"/>
            </w:pPr>
            <w:r>
              <w:rPr>
                <w:rFonts w:ascii="Arial" w:eastAsia="Arial" w:hAnsi="Arial" w:cs="Arial"/>
                <w:color w:val="000000"/>
                <w:sz w:val="20"/>
              </w:rPr>
              <w:lastRenderedPageBreak/>
              <w:t>Stockholders’ equity</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32E24B3" w14:textId="77777777" w:rsidR="006E60EE" w:rsidRDefault="004E2592">
            <w:pPr>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C42E3EF"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D2F19DF" w14:textId="77777777" w:rsidR="006E60EE" w:rsidRDefault="004E2592">
            <w:pPr>
              <w:spacing w:before="75" w:after="30"/>
              <w:jc w:val="right"/>
            </w:pPr>
            <w:r>
              <w:rPr>
                <w:rFonts w:ascii="Arial" w:eastAsia="Arial" w:hAnsi="Arial" w:cs="Arial"/>
                <w:color w:val="000000"/>
                <w:sz w:val="20"/>
              </w:rPr>
              <w:t xml:space="preserve"> </w:t>
            </w:r>
          </w:p>
        </w:tc>
      </w:tr>
      <w:tr w:rsidR="006E60EE" w14:paraId="65AB61C8"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4EEB78B9" w14:textId="77777777" w:rsidR="006E60EE" w:rsidRDefault="004E2592">
            <w:pPr>
              <w:spacing w:before="75" w:after="30"/>
              <w:ind w:left="240"/>
            </w:pPr>
            <w:r>
              <w:rPr>
                <w:rFonts w:ascii="Arial" w:eastAsia="Arial" w:hAnsi="Arial" w:cs="Arial"/>
                <w:color w:val="000000"/>
                <w:sz w:val="20"/>
              </w:rPr>
              <w:t>Common stock</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A831ED5" w14:textId="77777777" w:rsidR="006E60EE" w:rsidRDefault="004E2592">
            <w:pPr>
              <w:tabs>
                <w:tab w:val="left" w:pos="974"/>
                <w:tab w:val="left" w:pos="1372"/>
              </w:tabs>
              <w:spacing w:before="75" w:after="30"/>
              <w:jc w:val="right"/>
            </w:pPr>
            <w:r>
              <w:rPr>
                <w:rFonts w:ascii="Arial" w:eastAsia="Arial" w:hAnsi="Arial" w:cs="Arial"/>
                <w:color w:val="000000"/>
                <w:sz w:val="20"/>
              </w:rPr>
              <w:tab/>
              <w:t>375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342B21C"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0B7C91E" w14:textId="77777777" w:rsidR="006E60EE" w:rsidRDefault="004E2592">
            <w:pPr>
              <w:tabs>
                <w:tab w:val="left" w:pos="974"/>
                <w:tab w:val="left" w:pos="1372"/>
              </w:tabs>
              <w:spacing w:before="75" w:after="30"/>
              <w:jc w:val="right"/>
            </w:pPr>
            <w:r>
              <w:rPr>
                <w:rFonts w:ascii="Arial" w:eastAsia="Arial" w:hAnsi="Arial" w:cs="Arial"/>
                <w:color w:val="000000"/>
                <w:sz w:val="20"/>
              </w:rPr>
              <w:tab/>
              <w:t>375</w:t>
            </w:r>
            <w:r>
              <w:rPr>
                <w:rFonts w:ascii="Arial" w:eastAsia="Arial" w:hAnsi="Arial" w:cs="Arial"/>
                <w:color w:val="000000"/>
                <w:sz w:val="20"/>
              </w:rPr>
              <w:tab/>
            </w:r>
          </w:p>
        </w:tc>
      </w:tr>
      <w:tr w:rsidR="006E60EE" w14:paraId="3D270FD1"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AD32658" w14:textId="77777777" w:rsidR="006E60EE" w:rsidRDefault="004E2592">
            <w:pPr>
              <w:spacing w:before="75" w:after="30"/>
              <w:ind w:left="240"/>
            </w:pPr>
            <w:r>
              <w:rPr>
                <w:rFonts w:ascii="Arial" w:eastAsia="Arial" w:hAnsi="Arial" w:cs="Arial"/>
                <w:color w:val="000000"/>
                <w:sz w:val="20"/>
              </w:rPr>
              <w:t>Additional paid-in capital</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173055E" w14:textId="77777777" w:rsidR="006E60EE" w:rsidRDefault="004E2592">
            <w:pPr>
              <w:tabs>
                <w:tab w:val="left" w:pos="585"/>
                <w:tab w:val="left" w:pos="1372"/>
              </w:tabs>
              <w:spacing w:before="75" w:after="30"/>
              <w:jc w:val="right"/>
            </w:pPr>
            <w:r>
              <w:rPr>
                <w:rFonts w:ascii="Arial" w:eastAsia="Arial" w:hAnsi="Arial" w:cs="Arial"/>
                <w:color w:val="000000"/>
                <w:sz w:val="20"/>
              </w:rPr>
              <w:tab/>
              <w:t>171,389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4A1A352"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8032ECB" w14:textId="77777777" w:rsidR="006E60EE" w:rsidRDefault="004E2592">
            <w:pPr>
              <w:tabs>
                <w:tab w:val="left" w:pos="585"/>
                <w:tab w:val="left" w:pos="1372"/>
              </w:tabs>
              <w:spacing w:before="75" w:after="30"/>
              <w:jc w:val="right"/>
            </w:pPr>
            <w:r>
              <w:rPr>
                <w:rFonts w:ascii="Arial" w:eastAsia="Arial" w:hAnsi="Arial" w:cs="Arial"/>
                <w:color w:val="000000"/>
                <w:sz w:val="20"/>
              </w:rPr>
              <w:tab/>
              <w:t>171,144</w:t>
            </w:r>
            <w:r>
              <w:rPr>
                <w:rFonts w:ascii="Arial" w:eastAsia="Arial" w:hAnsi="Arial" w:cs="Arial"/>
                <w:color w:val="000000"/>
                <w:sz w:val="20"/>
              </w:rPr>
              <w:tab/>
            </w:r>
          </w:p>
        </w:tc>
      </w:tr>
      <w:tr w:rsidR="006E60EE" w14:paraId="0D03979D"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1E969840" w14:textId="77777777" w:rsidR="006E60EE" w:rsidRDefault="004E2592">
            <w:pPr>
              <w:spacing w:before="75" w:after="30"/>
              <w:ind w:left="240"/>
            </w:pPr>
            <w:r>
              <w:rPr>
                <w:rFonts w:ascii="Arial" w:eastAsia="Arial" w:hAnsi="Arial" w:cs="Arial"/>
                <w:color w:val="000000"/>
                <w:sz w:val="20"/>
              </w:rPr>
              <w:t>Accumulated deficit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25B8221" w14:textId="77777777" w:rsidR="006E60EE" w:rsidRDefault="004E2592">
            <w:pPr>
              <w:tabs>
                <w:tab w:val="left" w:pos="498"/>
              </w:tabs>
              <w:spacing w:before="75" w:after="30"/>
              <w:jc w:val="right"/>
            </w:pPr>
            <w:r>
              <w:rPr>
                <w:rFonts w:ascii="Arial" w:eastAsia="Arial" w:hAnsi="Arial" w:cs="Arial"/>
                <w:color w:val="000000"/>
                <w:sz w:val="20"/>
              </w:rPr>
              <w:tab/>
              <w:t>(101,253)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B9BEC47"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7C433CB" w14:textId="77777777" w:rsidR="006E60EE" w:rsidRDefault="004E2592">
            <w:pPr>
              <w:tabs>
                <w:tab w:val="left" w:pos="609"/>
              </w:tabs>
              <w:spacing w:before="75" w:after="30"/>
              <w:jc w:val="right"/>
            </w:pPr>
            <w:r>
              <w:rPr>
                <w:rFonts w:ascii="Arial" w:eastAsia="Arial" w:hAnsi="Arial" w:cs="Arial"/>
                <w:color w:val="000000"/>
                <w:sz w:val="20"/>
              </w:rPr>
              <w:tab/>
              <w:t>(99,955)</w:t>
            </w:r>
          </w:p>
        </w:tc>
      </w:tr>
      <w:tr w:rsidR="006E60EE" w14:paraId="65A7BD04"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5DDC2399" w14:textId="77777777" w:rsidR="006E60EE" w:rsidRDefault="004E2592">
            <w:pPr>
              <w:spacing w:before="75" w:after="30"/>
              <w:ind w:left="240"/>
            </w:pPr>
            <w:r>
              <w:rPr>
                <w:rFonts w:ascii="Arial" w:eastAsia="Arial" w:hAnsi="Arial" w:cs="Arial"/>
                <w:color w:val="000000"/>
                <w:sz w:val="20"/>
              </w:rPr>
              <w:t>Noncontrolling interests</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14E7BF2" w14:textId="77777777" w:rsidR="006E60EE" w:rsidRDefault="004E2592">
            <w:pPr>
              <w:tabs>
                <w:tab w:val="left" w:pos="720"/>
              </w:tabs>
              <w:spacing w:before="75" w:after="30"/>
              <w:jc w:val="right"/>
            </w:pPr>
            <w:r>
              <w:rPr>
                <w:rFonts w:ascii="Arial" w:eastAsia="Arial" w:hAnsi="Arial" w:cs="Arial"/>
                <w:color w:val="000000"/>
                <w:sz w:val="20"/>
              </w:rPr>
              <w:tab/>
              <w:t>(1,690)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AF5EB2D" w14:textId="77777777" w:rsidR="006E60EE" w:rsidRDefault="006E60EE"/>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74BE547" w14:textId="77777777" w:rsidR="006E60EE" w:rsidRDefault="004E2592">
            <w:pPr>
              <w:tabs>
                <w:tab w:val="left" w:pos="720"/>
              </w:tabs>
              <w:spacing w:before="75" w:after="30"/>
              <w:jc w:val="right"/>
            </w:pPr>
            <w:r>
              <w:rPr>
                <w:rFonts w:ascii="Arial" w:eastAsia="Arial" w:hAnsi="Arial" w:cs="Arial"/>
                <w:color w:val="000000"/>
                <w:sz w:val="20"/>
              </w:rPr>
              <w:tab/>
              <w:t>(1,650)</w:t>
            </w:r>
          </w:p>
        </w:tc>
      </w:tr>
      <w:tr w:rsidR="006E60EE" w14:paraId="2CEC30E9" w14:textId="77777777">
        <w:trPr>
          <w:cantSplit/>
          <w:trHeight w:hRule="exact" w:val="285"/>
          <w:jc w:val="center"/>
        </w:trPr>
        <w:tc>
          <w:tcPr>
            <w:tcW w:w="6960" w:type="dxa"/>
            <w:tcBorders>
              <w:top w:val="nil"/>
              <w:left w:val="nil"/>
              <w:bottom w:val="nil"/>
              <w:right w:val="nil"/>
            </w:tcBorders>
            <w:shd w:val="clear" w:color="auto" w:fill="CCEEFF"/>
            <w:tcMar>
              <w:top w:w="0" w:type="dxa"/>
              <w:left w:w="53" w:type="dxa"/>
              <w:bottom w:w="0" w:type="dxa"/>
              <w:right w:w="53" w:type="dxa"/>
            </w:tcMar>
            <w:vAlign w:val="bottom"/>
          </w:tcPr>
          <w:p w14:paraId="6F0B35B1" w14:textId="77777777" w:rsidR="006E60EE" w:rsidRDefault="004E2592">
            <w:pPr>
              <w:spacing w:before="55" w:after="30"/>
              <w:ind w:left="720"/>
            </w:pPr>
            <w:r>
              <w:rPr>
                <w:rFonts w:ascii="Arial" w:eastAsia="Arial" w:hAnsi="Arial" w:cs="Arial"/>
                <w:color w:val="000000"/>
                <w:sz w:val="20"/>
              </w:rPr>
              <w:t>Total stockholders’ equity</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C17AF14" w14:textId="77777777" w:rsidR="006E60EE" w:rsidRDefault="004E2592">
            <w:pPr>
              <w:tabs>
                <w:tab w:val="left" w:pos="696"/>
                <w:tab w:val="left" w:pos="1372"/>
              </w:tabs>
              <w:spacing w:before="55" w:after="30"/>
              <w:jc w:val="right"/>
            </w:pPr>
            <w:r>
              <w:rPr>
                <w:rFonts w:ascii="Arial" w:eastAsia="Arial" w:hAnsi="Arial" w:cs="Arial"/>
                <w:color w:val="000000"/>
                <w:sz w:val="20"/>
              </w:rPr>
              <w:tab/>
              <w:t>68,821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3A45BC5" w14:textId="77777777" w:rsidR="006E60EE" w:rsidRDefault="006E60EE"/>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36175AC" w14:textId="77777777" w:rsidR="006E60EE" w:rsidRDefault="004E2592">
            <w:pPr>
              <w:tabs>
                <w:tab w:val="left" w:pos="696"/>
                <w:tab w:val="left" w:pos="1372"/>
              </w:tabs>
              <w:spacing w:before="55" w:after="30"/>
              <w:jc w:val="right"/>
            </w:pPr>
            <w:r>
              <w:rPr>
                <w:rFonts w:ascii="Arial" w:eastAsia="Arial" w:hAnsi="Arial" w:cs="Arial"/>
                <w:color w:val="000000"/>
                <w:sz w:val="20"/>
              </w:rPr>
              <w:tab/>
              <w:t>69,914</w:t>
            </w:r>
            <w:r>
              <w:rPr>
                <w:rFonts w:ascii="Arial" w:eastAsia="Arial" w:hAnsi="Arial" w:cs="Arial"/>
                <w:color w:val="000000"/>
                <w:sz w:val="20"/>
              </w:rPr>
              <w:tab/>
            </w:r>
          </w:p>
        </w:tc>
      </w:tr>
      <w:tr w:rsidR="006E60EE" w14:paraId="57368946" w14:textId="77777777">
        <w:trPr>
          <w:cantSplit/>
          <w:trHeight w:hRule="exact" w:val="285"/>
          <w:jc w:val="center"/>
        </w:trPr>
        <w:tc>
          <w:tcPr>
            <w:tcW w:w="6960" w:type="dxa"/>
            <w:tcBorders>
              <w:top w:val="nil"/>
              <w:left w:val="nil"/>
              <w:bottom w:val="nil"/>
              <w:right w:val="nil"/>
            </w:tcBorders>
            <w:shd w:val="clear" w:color="auto" w:fill="FFFFFF"/>
            <w:tcMar>
              <w:top w:w="0" w:type="dxa"/>
              <w:left w:w="53" w:type="dxa"/>
              <w:bottom w:w="0" w:type="dxa"/>
              <w:right w:w="53" w:type="dxa"/>
            </w:tcMar>
            <w:vAlign w:val="bottom"/>
          </w:tcPr>
          <w:p w14:paraId="7C1D23EC" w14:textId="77777777" w:rsidR="006E60EE" w:rsidRDefault="004E2592">
            <w:pPr>
              <w:spacing w:before="55" w:after="30"/>
              <w:ind w:left="960"/>
            </w:pPr>
            <w:r>
              <w:rPr>
                <w:rFonts w:ascii="Arial" w:eastAsia="Arial" w:hAnsi="Arial" w:cs="Arial"/>
                <w:color w:val="000000"/>
                <w:sz w:val="20"/>
              </w:rPr>
              <w:t>Total liabilities, mezzanine equity and stockholders’ equity</w:t>
            </w: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4F8074E" w14:textId="77777777" w:rsidR="006E60EE" w:rsidRDefault="004E2592">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201,332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A3CE479" w14:textId="77777777" w:rsidR="006E60EE" w:rsidRDefault="006E60EE"/>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D15C515" w14:textId="77777777" w:rsidR="006E60EE" w:rsidRDefault="004E2592">
            <w:pPr>
              <w:tabs>
                <w:tab w:val="left" w:pos="585"/>
                <w:tab w:val="left" w:pos="1372"/>
              </w:tabs>
              <w:spacing w:before="55" w:after="30"/>
              <w:jc w:val="right"/>
            </w:pPr>
            <w:r>
              <w:rPr>
                <w:rFonts w:ascii="Arial" w:eastAsia="Arial" w:hAnsi="Arial" w:cs="Arial"/>
                <w:color w:val="000000"/>
                <w:sz w:val="20"/>
              </w:rPr>
              <w:t>$</w:t>
            </w:r>
            <w:r>
              <w:rPr>
                <w:rFonts w:ascii="Arial" w:eastAsia="Arial" w:hAnsi="Arial" w:cs="Arial"/>
                <w:color w:val="000000"/>
                <w:sz w:val="20"/>
              </w:rPr>
              <w:tab/>
              <w:t>196,123</w:t>
            </w:r>
            <w:r>
              <w:rPr>
                <w:rFonts w:ascii="Arial" w:eastAsia="Arial" w:hAnsi="Arial" w:cs="Arial"/>
                <w:color w:val="000000"/>
                <w:sz w:val="20"/>
              </w:rPr>
              <w:tab/>
            </w:r>
          </w:p>
        </w:tc>
      </w:tr>
    </w:tbl>
    <w:p w14:paraId="623D29AE" w14:textId="77777777" w:rsidR="006E60EE" w:rsidRDefault="006E60EE">
      <w:pPr>
        <w:spacing w:line="288" w:lineRule="auto"/>
        <w:jc w:val="center"/>
        <w:rPr>
          <w:sz w:val="2"/>
        </w:rPr>
      </w:pPr>
    </w:p>
    <w:p w14:paraId="5F74DD96" w14:textId="77777777" w:rsidR="006E60EE" w:rsidRDefault="006E60EE">
      <w:pPr>
        <w:spacing w:line="288" w:lineRule="auto"/>
        <w:jc w:val="center"/>
        <w:rPr>
          <w:sz w:val="2"/>
        </w:rPr>
        <w:sectPr w:rsidR="006E60EE" w:rsidSect="00CD06A6">
          <w:headerReference w:type="default" r:id="rId14"/>
          <w:pgSz w:w="12240" w:h="15840"/>
          <w:pgMar w:top="900" w:right="1170" w:bottom="900" w:left="1170" w:header="0" w:footer="0" w:gutter="0"/>
          <w:cols w:space="708"/>
        </w:sectPr>
      </w:pPr>
    </w:p>
    <w:p w14:paraId="2165BA7B" w14:textId="77777777" w:rsidR="006E60EE" w:rsidRDefault="004E2592">
      <w:pPr>
        <w:keepNext/>
        <w:spacing w:line="288" w:lineRule="auto"/>
        <w:jc w:val="center"/>
        <w:outlineLvl w:val="1"/>
        <w:rPr>
          <w:rFonts w:ascii="Arial" w:eastAsia="Arial" w:hAnsi="Arial" w:cs="Arial"/>
          <w:sz w:val="20"/>
        </w:rPr>
      </w:pPr>
      <w:bookmarkStart w:id="1" w:name="Section3"/>
      <w:bookmarkEnd w:id="1"/>
      <w:r>
        <w:rPr>
          <w:rFonts w:ascii="Arial" w:eastAsia="Arial" w:hAnsi="Arial" w:cs="Arial"/>
          <w:sz w:val="20"/>
        </w:rPr>
        <w:lastRenderedPageBreak/>
        <w:t>MariMed Inc.</w:t>
      </w:r>
    </w:p>
    <w:p w14:paraId="56AFC53E"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Condensed Consolidated Statements of Operations</w:t>
      </w:r>
    </w:p>
    <w:p w14:paraId="302EBD15"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(in thousands, except percentages and per share amounts)</w:t>
      </w:r>
    </w:p>
    <w:p w14:paraId="0C189524" w14:textId="77777777" w:rsidR="006E60EE" w:rsidRDefault="004E2592">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05"/>
        <w:gridCol w:w="60"/>
        <w:gridCol w:w="1305"/>
      </w:tblGrid>
      <w:tr w:rsidR="006E60EE" w14:paraId="7E4571A0" w14:textId="77777777">
        <w:trPr>
          <w:cantSplit/>
        </w:trPr>
        <w:tc>
          <w:tcPr>
            <w:tcW w:w="7230" w:type="dxa"/>
            <w:tcBorders>
              <w:top w:val="nil"/>
              <w:left w:val="nil"/>
              <w:bottom w:val="nil"/>
              <w:right w:val="nil"/>
            </w:tcBorders>
            <w:tcMar>
              <w:top w:w="0" w:type="dxa"/>
              <w:left w:w="0" w:type="dxa"/>
              <w:bottom w:w="0" w:type="dxa"/>
              <w:right w:w="0" w:type="dxa"/>
            </w:tcMar>
            <w:vAlign w:val="bottom"/>
          </w:tcPr>
          <w:p w14:paraId="261E36A2" w14:textId="77777777" w:rsidR="006E60EE" w:rsidRDefault="006E60EE">
            <w:pPr>
              <w:keepNext/>
            </w:pPr>
          </w:p>
        </w:tc>
        <w:tc>
          <w:tcPr>
            <w:tcW w:w="2670" w:type="dxa"/>
            <w:gridSpan w:val="3"/>
            <w:tcBorders>
              <w:top w:val="nil"/>
              <w:left w:val="nil"/>
              <w:bottom w:val="nil"/>
              <w:right w:val="nil"/>
            </w:tcBorders>
            <w:tcMar>
              <w:top w:w="0" w:type="dxa"/>
              <w:left w:w="53" w:type="dxa"/>
              <w:bottom w:w="0" w:type="dxa"/>
              <w:right w:w="53" w:type="dxa"/>
            </w:tcMar>
            <w:vAlign w:val="bottom"/>
          </w:tcPr>
          <w:p w14:paraId="7022B34D" w14:textId="77777777" w:rsidR="006E60EE" w:rsidRDefault="004E2592">
            <w:pPr>
              <w:keepNext/>
              <w:spacing w:before="65" w:after="20"/>
              <w:jc w:val="center"/>
            </w:pPr>
            <w:r>
              <w:rPr>
                <w:rFonts w:ascii="Arial" w:eastAsia="Arial" w:hAnsi="Arial" w:cs="Arial"/>
                <w:color w:val="000000"/>
                <w:sz w:val="20"/>
              </w:rPr>
              <w:t>Three months ended</w:t>
            </w:r>
          </w:p>
        </w:tc>
      </w:tr>
      <w:tr w:rsidR="006E60EE" w14:paraId="5B1B07C4" w14:textId="77777777">
        <w:trPr>
          <w:cantSplit/>
          <w:trHeight w:hRule="exact" w:val="285"/>
        </w:trPr>
        <w:tc>
          <w:tcPr>
            <w:tcW w:w="7230" w:type="dxa"/>
            <w:tcBorders>
              <w:top w:val="nil"/>
              <w:left w:val="nil"/>
              <w:bottom w:val="nil"/>
              <w:right w:val="nil"/>
            </w:tcBorders>
            <w:tcMar>
              <w:top w:w="0" w:type="dxa"/>
              <w:left w:w="0" w:type="dxa"/>
              <w:bottom w:w="0" w:type="dxa"/>
              <w:right w:w="0" w:type="dxa"/>
            </w:tcMar>
            <w:vAlign w:val="bottom"/>
          </w:tcPr>
          <w:p w14:paraId="4925139E" w14:textId="77777777" w:rsidR="006E60EE" w:rsidRDefault="006E60EE">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2E6E5E0E" w14:textId="77777777" w:rsidR="006E60EE" w:rsidRDefault="004E2592">
            <w:pPr>
              <w:keepNext/>
              <w:spacing w:before="75" w:after="30"/>
              <w:jc w:val="center"/>
              <w:rPr>
                <w:rFonts w:ascii="Arial" w:eastAsia="Arial" w:hAnsi="Arial" w:cs="Arial"/>
                <w:sz w:val="20"/>
              </w:rPr>
            </w:pPr>
            <w:r>
              <w:rPr>
                <w:rFonts w:ascii="Arial" w:eastAsia="Arial" w:hAnsi="Arial" w:cs="Arial"/>
                <w:sz w:val="20"/>
              </w:rPr>
              <w:t>March 31,</w:t>
            </w:r>
          </w:p>
        </w:tc>
      </w:tr>
      <w:tr w:rsidR="006E60EE" w14:paraId="765F1AC8" w14:textId="77777777">
        <w:trPr>
          <w:cantSplit/>
        </w:trPr>
        <w:tc>
          <w:tcPr>
            <w:tcW w:w="7230" w:type="dxa"/>
            <w:tcBorders>
              <w:top w:val="nil"/>
              <w:left w:val="nil"/>
              <w:bottom w:val="nil"/>
              <w:right w:val="nil"/>
            </w:tcBorders>
            <w:tcMar>
              <w:top w:w="0" w:type="dxa"/>
              <w:left w:w="0" w:type="dxa"/>
              <w:bottom w:w="0" w:type="dxa"/>
              <w:right w:w="0" w:type="dxa"/>
            </w:tcMar>
            <w:vAlign w:val="bottom"/>
          </w:tcPr>
          <w:p w14:paraId="3705CB63" w14:textId="77777777" w:rsidR="006E60EE" w:rsidRDefault="006E60EE">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74585EFE" w14:textId="77777777" w:rsidR="006E60EE" w:rsidRDefault="004E2592">
            <w:pPr>
              <w:keepNext/>
              <w:spacing w:before="45" w:after="20"/>
              <w:jc w:val="center"/>
            </w:pPr>
            <w:r>
              <w:rPr>
                <w:rFonts w:ascii="Arial" w:eastAsia="Arial" w:hAnsi="Arial" w:cs="Arial"/>
                <w:color w:val="000000"/>
                <w:sz w:val="20"/>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7D4121CB" w14:textId="77777777" w:rsidR="006E60EE" w:rsidRDefault="006E60EE">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6BA5BC3" w14:textId="77777777" w:rsidR="006E60EE" w:rsidRDefault="004E2592">
            <w:pPr>
              <w:keepNext/>
              <w:spacing w:before="45" w:after="20"/>
              <w:jc w:val="center"/>
            </w:pPr>
            <w:r>
              <w:rPr>
                <w:rFonts w:ascii="Arial" w:eastAsia="Arial" w:hAnsi="Arial" w:cs="Arial"/>
                <w:color w:val="000000"/>
                <w:sz w:val="20"/>
              </w:rPr>
              <w:t>2023</w:t>
            </w:r>
          </w:p>
        </w:tc>
      </w:tr>
      <w:tr w:rsidR="006E60EE" w14:paraId="6446801A" w14:textId="77777777">
        <w:trPr>
          <w:cantSplit/>
          <w:trHeight w:hRule="exact" w:val="255"/>
        </w:trPr>
        <w:tc>
          <w:tcPr>
            <w:tcW w:w="7230" w:type="dxa"/>
            <w:tcBorders>
              <w:top w:val="nil"/>
              <w:left w:val="nil"/>
              <w:bottom w:val="nil"/>
              <w:right w:val="nil"/>
            </w:tcBorders>
            <w:tcMar>
              <w:top w:w="0" w:type="dxa"/>
              <w:left w:w="0" w:type="dxa"/>
              <w:bottom w:w="0" w:type="dxa"/>
              <w:right w:w="0" w:type="dxa"/>
            </w:tcMar>
            <w:vAlign w:val="bottom"/>
          </w:tcPr>
          <w:p w14:paraId="39936DC8" w14:textId="77777777" w:rsidR="006E60EE" w:rsidRDefault="006E60EE">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67E766B3" w14:textId="77777777" w:rsidR="006E60EE" w:rsidRDefault="006E60EE">
            <w:pPr>
              <w:keepNext/>
            </w:pPr>
          </w:p>
        </w:tc>
        <w:tc>
          <w:tcPr>
            <w:tcW w:w="60" w:type="dxa"/>
            <w:tcBorders>
              <w:top w:val="nil"/>
              <w:left w:val="nil"/>
              <w:bottom w:val="nil"/>
              <w:right w:val="nil"/>
            </w:tcBorders>
            <w:tcMar>
              <w:top w:w="0" w:type="dxa"/>
              <w:left w:w="0" w:type="dxa"/>
              <w:bottom w:w="0" w:type="dxa"/>
              <w:right w:w="0" w:type="dxa"/>
            </w:tcMar>
            <w:vAlign w:val="bottom"/>
          </w:tcPr>
          <w:p w14:paraId="335BC116" w14:textId="77777777" w:rsidR="006E60EE" w:rsidRDefault="006E60EE">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620B3D96" w14:textId="77777777" w:rsidR="006E60EE" w:rsidRDefault="006E60EE">
            <w:pPr>
              <w:keepNext/>
            </w:pPr>
          </w:p>
        </w:tc>
      </w:tr>
      <w:tr w:rsidR="006E60EE" w14:paraId="0EC2E805"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FAD52C3" w14:textId="77777777" w:rsidR="006E60EE" w:rsidRDefault="004E2592">
            <w:pPr>
              <w:keepNext/>
              <w:spacing w:before="75" w:after="30"/>
            </w:pPr>
            <w:r>
              <w:rPr>
                <w:rFonts w:ascii="Arial" w:eastAsia="Arial" w:hAnsi="Arial" w:cs="Arial"/>
                <w:color w:val="000000"/>
                <w:sz w:val="20"/>
              </w:rPr>
              <w:t>Revenue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74D0391" w14:textId="77777777" w:rsidR="006E60EE" w:rsidRDefault="004E2592">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37,933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08EADEA"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CB2B47D" w14:textId="77777777" w:rsidR="006E60EE" w:rsidRDefault="004E2592">
            <w:pPr>
              <w:keepNext/>
              <w:tabs>
                <w:tab w:val="left" w:pos="383"/>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34,380</w:t>
            </w:r>
            <w:r>
              <w:rPr>
                <w:rFonts w:ascii="Arial" w:eastAsia="Arial" w:hAnsi="Arial" w:cs="Arial"/>
                <w:color w:val="000000"/>
                <w:sz w:val="20"/>
              </w:rPr>
              <w:tab/>
            </w:r>
          </w:p>
        </w:tc>
      </w:tr>
      <w:tr w:rsidR="006E60EE" w14:paraId="5487AFC6"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664BBBAA" w14:textId="77777777" w:rsidR="006E60EE" w:rsidRDefault="004E2592">
            <w:pPr>
              <w:keepNext/>
              <w:spacing w:before="75" w:after="30"/>
            </w:pPr>
            <w:r>
              <w:rPr>
                <w:rFonts w:ascii="Arial" w:eastAsia="Arial" w:hAnsi="Arial" w:cs="Arial"/>
                <w:color w:val="000000"/>
                <w:sz w:val="20"/>
              </w:rPr>
              <w:t>Cost of revenue</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6B5D46" w14:textId="77777777" w:rsidR="006E60EE" w:rsidRDefault="004E2592">
            <w:pPr>
              <w:keepNext/>
              <w:tabs>
                <w:tab w:val="left" w:pos="383"/>
                <w:tab w:val="left" w:pos="1237"/>
              </w:tabs>
              <w:spacing w:before="75" w:after="30"/>
              <w:jc w:val="right"/>
            </w:pPr>
            <w:r>
              <w:rPr>
                <w:rFonts w:ascii="Arial" w:eastAsia="Arial" w:hAnsi="Arial" w:cs="Arial"/>
                <w:color w:val="000000"/>
                <w:sz w:val="20"/>
              </w:rPr>
              <w:tab/>
              <w:t>21,461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BE60B36"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490D14" w14:textId="77777777" w:rsidR="006E60EE" w:rsidRDefault="004E2592">
            <w:pPr>
              <w:keepNext/>
              <w:tabs>
                <w:tab w:val="left" w:pos="383"/>
                <w:tab w:val="left" w:pos="1237"/>
              </w:tabs>
              <w:spacing w:before="75" w:after="30"/>
              <w:jc w:val="right"/>
            </w:pPr>
            <w:r>
              <w:rPr>
                <w:rFonts w:ascii="Arial" w:eastAsia="Arial" w:hAnsi="Arial" w:cs="Arial"/>
                <w:color w:val="000000"/>
                <w:sz w:val="20"/>
              </w:rPr>
              <w:tab/>
              <w:t>18,992</w:t>
            </w:r>
            <w:r>
              <w:rPr>
                <w:rFonts w:ascii="Arial" w:eastAsia="Arial" w:hAnsi="Arial" w:cs="Arial"/>
                <w:color w:val="000000"/>
                <w:sz w:val="20"/>
              </w:rPr>
              <w:tab/>
            </w:r>
          </w:p>
        </w:tc>
      </w:tr>
      <w:tr w:rsidR="006E60EE" w14:paraId="38E1361A"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46F3457" w14:textId="77777777" w:rsidR="006E60EE" w:rsidRDefault="004E2592">
            <w:pPr>
              <w:keepNext/>
              <w:spacing w:before="55" w:after="30"/>
              <w:ind w:left="240"/>
            </w:pPr>
            <w:r>
              <w:rPr>
                <w:rFonts w:ascii="Arial" w:eastAsia="Arial" w:hAnsi="Arial" w:cs="Arial"/>
                <w:color w:val="000000"/>
                <w:sz w:val="20"/>
              </w:rPr>
              <w:t>Gross profit</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937DFA5" w14:textId="77777777" w:rsidR="006E60EE" w:rsidRDefault="004E2592">
            <w:pPr>
              <w:keepNext/>
              <w:tabs>
                <w:tab w:val="left" w:pos="383"/>
                <w:tab w:val="left" w:pos="1237"/>
              </w:tabs>
              <w:spacing w:before="55" w:after="30"/>
              <w:jc w:val="right"/>
            </w:pPr>
            <w:r>
              <w:rPr>
                <w:rFonts w:ascii="Arial" w:eastAsia="Arial" w:hAnsi="Arial" w:cs="Arial"/>
                <w:color w:val="000000"/>
                <w:sz w:val="20"/>
              </w:rPr>
              <w:tab/>
              <w:t>16,472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F8BA877" w14:textId="77777777" w:rsidR="006E60EE" w:rsidRDefault="006E60EE">
            <w:pPr>
              <w:keepNext/>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BCAA9CF" w14:textId="77777777" w:rsidR="006E60EE" w:rsidRDefault="004E2592">
            <w:pPr>
              <w:keepNext/>
              <w:tabs>
                <w:tab w:val="left" w:pos="383"/>
                <w:tab w:val="left" w:pos="1237"/>
              </w:tabs>
              <w:spacing w:before="55" w:after="30"/>
              <w:jc w:val="right"/>
            </w:pPr>
            <w:r>
              <w:rPr>
                <w:rFonts w:ascii="Arial" w:eastAsia="Arial" w:hAnsi="Arial" w:cs="Arial"/>
                <w:color w:val="000000"/>
                <w:sz w:val="20"/>
              </w:rPr>
              <w:tab/>
              <w:t>15,388</w:t>
            </w:r>
            <w:r>
              <w:rPr>
                <w:rFonts w:ascii="Arial" w:eastAsia="Arial" w:hAnsi="Arial" w:cs="Arial"/>
                <w:color w:val="000000"/>
                <w:sz w:val="20"/>
              </w:rPr>
              <w:tab/>
            </w:r>
          </w:p>
        </w:tc>
      </w:tr>
      <w:tr w:rsidR="006E60EE" w14:paraId="225EADAB"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32E55D5C" w14:textId="77777777" w:rsidR="006E60EE" w:rsidRDefault="004E2592">
            <w:pPr>
              <w:keepNext/>
              <w:spacing w:before="55" w:after="30"/>
            </w:pPr>
            <w:r>
              <w:rPr>
                <w:rFonts w:ascii="Arial" w:eastAsia="Arial" w:hAnsi="Arial" w:cs="Arial"/>
                <w:color w:val="000000"/>
                <w:sz w:val="20"/>
              </w:rPr>
              <w:t xml:space="preserve"> </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43B6B10" w14:textId="77777777" w:rsidR="006E60EE" w:rsidRDefault="004E2592">
            <w:pPr>
              <w:keepNext/>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6871A15"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800663A" w14:textId="77777777" w:rsidR="006E60EE" w:rsidRDefault="004E2592">
            <w:pPr>
              <w:keepNext/>
              <w:spacing w:before="55" w:after="30"/>
              <w:jc w:val="right"/>
            </w:pPr>
            <w:r>
              <w:rPr>
                <w:rFonts w:ascii="Arial" w:eastAsia="Arial" w:hAnsi="Arial" w:cs="Arial"/>
                <w:color w:val="000000"/>
                <w:sz w:val="20"/>
              </w:rPr>
              <w:t xml:space="preserve"> </w:t>
            </w:r>
          </w:p>
        </w:tc>
      </w:tr>
      <w:tr w:rsidR="006E60EE" w14:paraId="153F05CC"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2539307F" w14:textId="77777777" w:rsidR="006E60EE" w:rsidRDefault="004E2592">
            <w:pPr>
              <w:keepNext/>
              <w:spacing w:before="75" w:after="30"/>
              <w:ind w:left="240"/>
            </w:pPr>
            <w:r>
              <w:rPr>
                <w:rFonts w:ascii="Arial" w:eastAsia="Arial" w:hAnsi="Arial" w:cs="Arial"/>
                <w:color w:val="000000"/>
                <w:sz w:val="20"/>
              </w:rPr>
              <w:t>Gross margin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E063488" w14:textId="77777777" w:rsidR="006E60EE" w:rsidRDefault="004E2592">
            <w:pPr>
              <w:keepNext/>
              <w:tabs>
                <w:tab w:val="left" w:pos="1"/>
                <w:tab w:val="left" w:pos="633"/>
              </w:tabs>
              <w:spacing w:before="75" w:after="30"/>
              <w:jc w:val="right"/>
            </w:pPr>
            <w:r>
              <w:rPr>
                <w:rFonts w:ascii="Arial" w:eastAsia="Arial" w:hAnsi="Arial" w:cs="Arial"/>
                <w:color w:val="000000"/>
                <w:sz w:val="20"/>
              </w:rPr>
              <w:tab/>
              <w:t>43.4%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F1A0851"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4BDED22" w14:textId="77777777" w:rsidR="006E60EE" w:rsidRDefault="004E2592">
            <w:pPr>
              <w:keepNext/>
              <w:tabs>
                <w:tab w:val="left" w:pos="1"/>
                <w:tab w:val="left" w:pos="633"/>
              </w:tabs>
              <w:spacing w:before="75" w:after="30"/>
              <w:jc w:val="right"/>
            </w:pPr>
            <w:r>
              <w:rPr>
                <w:rFonts w:ascii="Arial" w:eastAsia="Arial" w:hAnsi="Arial" w:cs="Arial"/>
                <w:color w:val="000000"/>
                <w:sz w:val="20"/>
              </w:rPr>
              <w:tab/>
              <w:t>44.8%</w:t>
            </w:r>
            <w:r>
              <w:rPr>
                <w:rFonts w:ascii="Arial" w:eastAsia="Arial" w:hAnsi="Arial" w:cs="Arial"/>
                <w:color w:val="000000"/>
                <w:sz w:val="20"/>
              </w:rPr>
              <w:tab/>
            </w:r>
          </w:p>
        </w:tc>
      </w:tr>
      <w:tr w:rsidR="006E60EE" w14:paraId="047C7C1C" w14:textId="77777777">
        <w:trPr>
          <w:cantSplit/>
          <w:trHeight w:hRule="exact" w:val="285"/>
        </w:trPr>
        <w:tc>
          <w:tcPr>
            <w:tcW w:w="7230" w:type="dxa"/>
            <w:tcBorders>
              <w:top w:val="nil"/>
              <w:left w:val="nil"/>
              <w:bottom w:val="nil"/>
              <w:right w:val="nil"/>
            </w:tcBorders>
            <w:shd w:val="clear" w:color="auto" w:fill="FFFFFF"/>
            <w:tcMar>
              <w:top w:w="0" w:type="dxa"/>
              <w:left w:w="0" w:type="dxa"/>
              <w:bottom w:w="0" w:type="dxa"/>
              <w:right w:w="0" w:type="dxa"/>
            </w:tcMar>
            <w:vAlign w:val="bottom"/>
          </w:tcPr>
          <w:p w14:paraId="2DCE31C9"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5A58BB38"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9132CF6"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0FB09623" w14:textId="77777777" w:rsidR="006E60EE" w:rsidRDefault="006E60EE">
            <w:pPr>
              <w:keepNext/>
            </w:pPr>
          </w:p>
        </w:tc>
      </w:tr>
      <w:tr w:rsidR="006E60EE" w14:paraId="10C55CA5"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36B1E4E9" w14:textId="77777777" w:rsidR="006E60EE" w:rsidRDefault="004E2592">
            <w:pPr>
              <w:keepNext/>
              <w:spacing w:before="75" w:after="30"/>
            </w:pPr>
            <w:r>
              <w:rPr>
                <w:rFonts w:ascii="Arial" w:eastAsia="Arial" w:hAnsi="Arial" w:cs="Arial"/>
                <w:color w:val="000000"/>
                <w:sz w:val="20"/>
              </w:rPr>
              <w:t>Operating expenses:</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61A794F6"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0A84CB"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2F956160" w14:textId="77777777" w:rsidR="006E60EE" w:rsidRDefault="006E60EE">
            <w:pPr>
              <w:keepNext/>
            </w:pPr>
          </w:p>
        </w:tc>
      </w:tr>
      <w:tr w:rsidR="006E60EE" w14:paraId="4E3B099D"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7E7FE554" w14:textId="77777777" w:rsidR="006E60EE" w:rsidRDefault="004E2592">
            <w:pPr>
              <w:keepNext/>
              <w:spacing w:before="75" w:after="30"/>
              <w:ind w:left="240"/>
            </w:pPr>
            <w:r>
              <w:rPr>
                <w:rFonts w:ascii="Arial" w:eastAsia="Arial" w:hAnsi="Arial" w:cs="Arial"/>
                <w:color w:val="000000"/>
                <w:sz w:val="20"/>
              </w:rPr>
              <w:t>Personnel</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B8DBAFC"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6,465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74B0593"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421C2CC"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4,656</w:t>
            </w:r>
            <w:r>
              <w:rPr>
                <w:rFonts w:ascii="Arial" w:eastAsia="Arial" w:hAnsi="Arial" w:cs="Arial"/>
                <w:color w:val="000000"/>
                <w:sz w:val="20"/>
              </w:rPr>
              <w:tab/>
            </w:r>
          </w:p>
        </w:tc>
      </w:tr>
      <w:tr w:rsidR="006E60EE" w14:paraId="2DB089CE"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49ECAF77" w14:textId="77777777" w:rsidR="006E60EE" w:rsidRDefault="004E2592">
            <w:pPr>
              <w:keepNext/>
              <w:spacing w:before="75" w:after="30"/>
              <w:ind w:left="240"/>
            </w:pPr>
            <w:r>
              <w:rPr>
                <w:rFonts w:ascii="Arial" w:eastAsia="Arial" w:hAnsi="Arial" w:cs="Arial"/>
                <w:color w:val="000000"/>
                <w:sz w:val="20"/>
              </w:rPr>
              <w:t>Marketing and promotion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814437F"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1,762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C6E1BC1"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72B92EF"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1,146</w:t>
            </w:r>
            <w:r>
              <w:rPr>
                <w:rFonts w:ascii="Arial" w:eastAsia="Arial" w:hAnsi="Arial" w:cs="Arial"/>
                <w:color w:val="000000"/>
                <w:sz w:val="20"/>
              </w:rPr>
              <w:tab/>
            </w:r>
          </w:p>
        </w:tc>
      </w:tr>
      <w:tr w:rsidR="006E60EE" w14:paraId="1FAE8FE8"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68A37967" w14:textId="77777777" w:rsidR="006E60EE" w:rsidRDefault="004E2592">
            <w:pPr>
              <w:keepNext/>
              <w:spacing w:before="75" w:after="30"/>
              <w:ind w:left="240"/>
            </w:pPr>
            <w:r>
              <w:rPr>
                <w:rFonts w:ascii="Arial" w:eastAsia="Arial" w:hAnsi="Arial" w:cs="Arial"/>
                <w:color w:val="000000"/>
                <w:sz w:val="20"/>
              </w:rPr>
              <w:t>General and administrative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2754EE4"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6,140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605EF0"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126FC6D"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4,305</w:t>
            </w:r>
            <w:r>
              <w:rPr>
                <w:rFonts w:ascii="Arial" w:eastAsia="Arial" w:hAnsi="Arial" w:cs="Arial"/>
                <w:color w:val="000000"/>
                <w:sz w:val="20"/>
              </w:rPr>
              <w:tab/>
            </w:r>
          </w:p>
        </w:tc>
      </w:tr>
      <w:tr w:rsidR="006E60EE" w14:paraId="09D2C2ED"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06D37480" w14:textId="77777777" w:rsidR="006E60EE" w:rsidRDefault="004E2592">
            <w:pPr>
              <w:keepNext/>
              <w:spacing w:before="75" w:after="30"/>
              <w:ind w:left="240"/>
            </w:pPr>
            <w:r>
              <w:rPr>
                <w:rFonts w:ascii="Arial" w:eastAsia="Arial" w:hAnsi="Arial" w:cs="Arial"/>
                <w:color w:val="000000"/>
                <w:sz w:val="20"/>
              </w:rPr>
              <w:t>Acquisition-related and other</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9291555" w14:textId="77777777" w:rsidR="006E60EE" w:rsidRDefault="004E2592">
            <w:pPr>
              <w:keepNext/>
              <w:tabs>
                <w:tab w:val="left" w:pos="772"/>
                <w:tab w:val="left" w:pos="1237"/>
              </w:tabs>
              <w:spacing w:before="75" w:after="30"/>
              <w:jc w:val="right"/>
            </w:pPr>
            <w:r>
              <w:rPr>
                <w:rFonts w:ascii="Arial" w:eastAsia="Arial" w:hAnsi="Arial" w:cs="Arial"/>
                <w:color w:val="000000"/>
                <w:sz w:val="20"/>
              </w:rPr>
              <w:tab/>
              <w:t>84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8245EFB"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65C9BD2" w14:textId="77777777" w:rsidR="006E60EE" w:rsidRDefault="004E2592">
            <w:pPr>
              <w:keepNext/>
              <w:tabs>
                <w:tab w:val="left" w:pos="661"/>
                <w:tab w:val="left" w:pos="1237"/>
              </w:tabs>
              <w:spacing w:before="75" w:after="30"/>
              <w:jc w:val="right"/>
            </w:pPr>
            <w:r>
              <w:rPr>
                <w:rFonts w:ascii="Arial" w:eastAsia="Arial" w:hAnsi="Arial" w:cs="Arial"/>
                <w:color w:val="000000"/>
                <w:sz w:val="20"/>
              </w:rPr>
              <w:tab/>
              <w:t>190</w:t>
            </w:r>
            <w:r>
              <w:rPr>
                <w:rFonts w:ascii="Arial" w:eastAsia="Arial" w:hAnsi="Arial" w:cs="Arial"/>
                <w:color w:val="000000"/>
                <w:sz w:val="20"/>
              </w:rPr>
              <w:tab/>
            </w:r>
          </w:p>
        </w:tc>
      </w:tr>
      <w:tr w:rsidR="006E60EE" w14:paraId="15453B5D"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758CA655" w14:textId="77777777" w:rsidR="006E60EE" w:rsidRDefault="004E2592">
            <w:pPr>
              <w:keepNext/>
              <w:spacing w:before="75" w:after="30"/>
              <w:ind w:left="240"/>
            </w:pPr>
            <w:r>
              <w:rPr>
                <w:rFonts w:ascii="Arial" w:eastAsia="Arial" w:hAnsi="Arial" w:cs="Arial"/>
                <w:color w:val="000000"/>
                <w:sz w:val="20"/>
              </w:rPr>
              <w:t>Bad debt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FD5F979" w14:textId="77777777" w:rsidR="006E60EE" w:rsidRDefault="004E2592">
            <w:pPr>
              <w:keepNext/>
              <w:tabs>
                <w:tab w:val="left" w:pos="794"/>
                <w:tab w:val="left" w:pos="1237"/>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ED074B1"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E198D0E" w14:textId="77777777" w:rsidR="006E60EE" w:rsidRDefault="004E2592">
            <w:pPr>
              <w:keepNext/>
              <w:tabs>
                <w:tab w:val="left" w:pos="685"/>
                <w:tab w:val="left" w:pos="1237"/>
              </w:tabs>
              <w:spacing w:before="75" w:after="30"/>
              <w:jc w:val="right"/>
            </w:pPr>
            <w:r>
              <w:rPr>
                <w:rFonts w:ascii="Arial" w:eastAsia="Arial" w:hAnsi="Arial" w:cs="Arial"/>
                <w:color w:val="000000"/>
                <w:sz w:val="20"/>
              </w:rPr>
              <w:tab/>
              <w:t>(44)</w:t>
            </w:r>
            <w:r>
              <w:rPr>
                <w:rFonts w:ascii="Arial" w:eastAsia="Arial" w:hAnsi="Arial" w:cs="Arial"/>
                <w:color w:val="000000"/>
                <w:sz w:val="20"/>
              </w:rPr>
              <w:tab/>
            </w:r>
          </w:p>
        </w:tc>
      </w:tr>
      <w:tr w:rsidR="006E60EE" w14:paraId="25078225"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1C031A22" w14:textId="77777777" w:rsidR="006E60EE" w:rsidRDefault="004E2592">
            <w:pPr>
              <w:keepNext/>
              <w:spacing w:before="55" w:after="30"/>
              <w:ind w:left="720"/>
            </w:pPr>
            <w:r>
              <w:rPr>
                <w:rFonts w:ascii="Arial" w:eastAsia="Arial" w:hAnsi="Arial" w:cs="Arial"/>
                <w:color w:val="000000"/>
                <w:sz w:val="20"/>
              </w:rPr>
              <w:t>Total operating expenses</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E0E386F" w14:textId="77777777" w:rsidR="006E60EE" w:rsidRDefault="004E2592">
            <w:pPr>
              <w:keepNext/>
              <w:tabs>
                <w:tab w:val="left" w:pos="383"/>
                <w:tab w:val="left" w:pos="1237"/>
              </w:tabs>
              <w:spacing w:before="55" w:after="30"/>
              <w:jc w:val="right"/>
            </w:pPr>
            <w:r>
              <w:rPr>
                <w:rFonts w:ascii="Arial" w:eastAsia="Arial" w:hAnsi="Arial" w:cs="Arial"/>
                <w:color w:val="000000"/>
                <w:sz w:val="20"/>
              </w:rPr>
              <w:tab/>
              <w:t>14,451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297C900" w14:textId="77777777" w:rsidR="006E60EE" w:rsidRDefault="006E60EE">
            <w:pPr>
              <w:keepNext/>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406D433" w14:textId="77777777" w:rsidR="006E60EE" w:rsidRDefault="004E2592">
            <w:pPr>
              <w:keepNext/>
              <w:tabs>
                <w:tab w:val="left" w:pos="383"/>
                <w:tab w:val="left" w:pos="1237"/>
              </w:tabs>
              <w:spacing w:before="55" w:after="30"/>
              <w:jc w:val="right"/>
            </w:pPr>
            <w:r>
              <w:rPr>
                <w:rFonts w:ascii="Arial" w:eastAsia="Arial" w:hAnsi="Arial" w:cs="Arial"/>
                <w:color w:val="000000"/>
                <w:sz w:val="20"/>
              </w:rPr>
              <w:tab/>
              <w:t>10,253</w:t>
            </w:r>
            <w:r>
              <w:rPr>
                <w:rFonts w:ascii="Arial" w:eastAsia="Arial" w:hAnsi="Arial" w:cs="Arial"/>
                <w:color w:val="000000"/>
                <w:sz w:val="20"/>
              </w:rPr>
              <w:tab/>
            </w:r>
          </w:p>
        </w:tc>
      </w:tr>
      <w:tr w:rsidR="006E60EE" w14:paraId="49BDE54F" w14:textId="77777777">
        <w:trPr>
          <w:cantSplit/>
          <w:trHeight w:hRule="exact" w:val="285"/>
        </w:trPr>
        <w:tc>
          <w:tcPr>
            <w:tcW w:w="7230" w:type="dxa"/>
            <w:tcBorders>
              <w:top w:val="nil"/>
              <w:left w:val="nil"/>
              <w:bottom w:val="nil"/>
              <w:right w:val="nil"/>
            </w:tcBorders>
            <w:shd w:val="clear" w:color="auto" w:fill="FFFFFF"/>
            <w:tcMar>
              <w:top w:w="0" w:type="dxa"/>
              <w:left w:w="0" w:type="dxa"/>
              <w:bottom w:w="0" w:type="dxa"/>
              <w:right w:w="0" w:type="dxa"/>
            </w:tcMar>
            <w:vAlign w:val="bottom"/>
          </w:tcPr>
          <w:p w14:paraId="2C188236"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3481102"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EC146D4"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7C70956" w14:textId="77777777" w:rsidR="006E60EE" w:rsidRDefault="006E60EE">
            <w:pPr>
              <w:keepNext/>
            </w:pPr>
          </w:p>
        </w:tc>
      </w:tr>
      <w:tr w:rsidR="006E60EE" w14:paraId="51ACF272"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1512E2F7" w14:textId="77777777" w:rsidR="006E60EE" w:rsidRDefault="004E2592">
            <w:pPr>
              <w:keepNext/>
              <w:spacing w:before="75" w:after="30"/>
            </w:pPr>
            <w:r>
              <w:rPr>
                <w:rFonts w:ascii="Arial" w:eastAsia="Arial" w:hAnsi="Arial" w:cs="Arial"/>
                <w:color w:val="000000"/>
                <w:sz w:val="20"/>
              </w:rPr>
              <w:t>Income from operations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099DA5A"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2,021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95A6025"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B276727"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5,135</w:t>
            </w:r>
            <w:r>
              <w:rPr>
                <w:rFonts w:ascii="Arial" w:eastAsia="Arial" w:hAnsi="Arial" w:cs="Arial"/>
                <w:color w:val="000000"/>
                <w:sz w:val="20"/>
              </w:rPr>
              <w:tab/>
            </w:r>
          </w:p>
        </w:tc>
      </w:tr>
      <w:tr w:rsidR="006E60EE" w14:paraId="20AB3EE4" w14:textId="77777777">
        <w:trPr>
          <w:cantSplit/>
          <w:trHeight w:hRule="exact" w:val="285"/>
        </w:trPr>
        <w:tc>
          <w:tcPr>
            <w:tcW w:w="7230" w:type="dxa"/>
            <w:tcBorders>
              <w:top w:val="nil"/>
              <w:left w:val="nil"/>
              <w:bottom w:val="nil"/>
              <w:right w:val="nil"/>
            </w:tcBorders>
            <w:shd w:val="clear" w:color="auto" w:fill="FFFFFF"/>
            <w:tcMar>
              <w:top w:w="0" w:type="dxa"/>
              <w:left w:w="0" w:type="dxa"/>
              <w:bottom w:w="0" w:type="dxa"/>
              <w:right w:w="0" w:type="dxa"/>
            </w:tcMar>
            <w:vAlign w:val="bottom"/>
          </w:tcPr>
          <w:p w14:paraId="72DDF0DA"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476DDB8C"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C8C698B"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11B9D19D" w14:textId="77777777" w:rsidR="006E60EE" w:rsidRDefault="006E60EE">
            <w:pPr>
              <w:keepNext/>
            </w:pPr>
          </w:p>
        </w:tc>
      </w:tr>
      <w:tr w:rsidR="006E60EE" w14:paraId="277F4818"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649875E9" w14:textId="77777777" w:rsidR="006E60EE" w:rsidRDefault="004E2592">
            <w:pPr>
              <w:keepNext/>
              <w:spacing w:before="75" w:after="30"/>
            </w:pPr>
            <w:r>
              <w:rPr>
                <w:rFonts w:ascii="Arial" w:eastAsia="Arial" w:hAnsi="Arial" w:cs="Arial"/>
                <w:color w:val="000000"/>
                <w:sz w:val="20"/>
              </w:rPr>
              <w:t>Interest and other (expense) income:</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47F0579E"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A5E186B"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36DBC0C6" w14:textId="77777777" w:rsidR="006E60EE" w:rsidRDefault="006E60EE">
            <w:pPr>
              <w:keepNext/>
            </w:pPr>
          </w:p>
        </w:tc>
      </w:tr>
      <w:tr w:rsidR="006E60EE" w14:paraId="1AB4527C"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58FD843A" w14:textId="77777777" w:rsidR="006E60EE" w:rsidRDefault="004E2592">
            <w:pPr>
              <w:keepNext/>
              <w:spacing w:before="75" w:after="30"/>
              <w:ind w:left="240"/>
            </w:pPr>
            <w:r>
              <w:rPr>
                <w:rFonts w:ascii="Arial" w:eastAsia="Arial" w:hAnsi="Arial" w:cs="Arial"/>
                <w:color w:val="000000"/>
                <w:sz w:val="20"/>
              </w:rPr>
              <w:t>Interest expense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0C6982A" w14:textId="77777777" w:rsidR="006E60EE" w:rsidRDefault="004E2592">
            <w:pPr>
              <w:keepNext/>
              <w:tabs>
                <w:tab w:val="left" w:pos="408"/>
                <w:tab w:val="left" w:pos="1237"/>
              </w:tabs>
              <w:spacing w:before="75" w:after="30"/>
              <w:jc w:val="right"/>
            </w:pPr>
            <w:r>
              <w:rPr>
                <w:rFonts w:ascii="Arial" w:eastAsia="Arial" w:hAnsi="Arial" w:cs="Arial"/>
                <w:color w:val="000000"/>
                <w:sz w:val="20"/>
              </w:rPr>
              <w:tab/>
              <w:t>(1,629)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DC836BC"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4E89BF7" w14:textId="77777777" w:rsidR="006E60EE" w:rsidRDefault="004E2592">
            <w:pPr>
              <w:keepNext/>
              <w:tabs>
                <w:tab w:val="left" w:pos="408"/>
                <w:tab w:val="left" w:pos="1237"/>
              </w:tabs>
              <w:spacing w:before="75" w:after="30"/>
              <w:jc w:val="right"/>
            </w:pPr>
            <w:r>
              <w:rPr>
                <w:rFonts w:ascii="Arial" w:eastAsia="Arial" w:hAnsi="Arial" w:cs="Arial"/>
                <w:color w:val="000000"/>
                <w:sz w:val="20"/>
              </w:rPr>
              <w:tab/>
              <w:t>(2,505)</w:t>
            </w:r>
            <w:r>
              <w:rPr>
                <w:rFonts w:ascii="Arial" w:eastAsia="Arial" w:hAnsi="Arial" w:cs="Arial"/>
                <w:color w:val="000000"/>
                <w:sz w:val="20"/>
              </w:rPr>
              <w:tab/>
            </w:r>
          </w:p>
        </w:tc>
      </w:tr>
      <w:tr w:rsidR="006E60EE" w14:paraId="64E18632"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12CD2D5A" w14:textId="77777777" w:rsidR="006E60EE" w:rsidRDefault="004E2592">
            <w:pPr>
              <w:keepNext/>
              <w:spacing w:before="75" w:after="30"/>
              <w:ind w:left="240"/>
            </w:pPr>
            <w:r>
              <w:rPr>
                <w:rFonts w:ascii="Arial" w:eastAsia="Arial" w:hAnsi="Arial" w:cs="Arial"/>
                <w:color w:val="000000"/>
                <w:sz w:val="20"/>
              </w:rPr>
              <w:t>Interest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451820D" w14:textId="77777777" w:rsidR="006E60EE" w:rsidRDefault="004E2592">
            <w:pPr>
              <w:keepNext/>
              <w:tabs>
                <w:tab w:val="left" w:pos="772"/>
                <w:tab w:val="left" w:pos="1237"/>
              </w:tabs>
              <w:spacing w:before="75" w:after="30"/>
              <w:jc w:val="right"/>
            </w:pPr>
            <w:r>
              <w:rPr>
                <w:rFonts w:ascii="Arial" w:eastAsia="Arial" w:hAnsi="Arial" w:cs="Arial"/>
                <w:color w:val="000000"/>
                <w:sz w:val="20"/>
              </w:rPr>
              <w:tab/>
              <w:t>26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5F71AF2"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3D170D0" w14:textId="77777777" w:rsidR="006E60EE" w:rsidRDefault="004E2592">
            <w:pPr>
              <w:keepNext/>
              <w:tabs>
                <w:tab w:val="left" w:pos="772"/>
                <w:tab w:val="left" w:pos="1237"/>
              </w:tabs>
              <w:spacing w:before="75" w:after="30"/>
              <w:jc w:val="right"/>
            </w:pPr>
            <w:r>
              <w:rPr>
                <w:rFonts w:ascii="Arial" w:eastAsia="Arial" w:hAnsi="Arial" w:cs="Arial"/>
                <w:color w:val="000000"/>
                <w:sz w:val="20"/>
              </w:rPr>
              <w:tab/>
              <w:t>99</w:t>
            </w:r>
            <w:r>
              <w:rPr>
                <w:rFonts w:ascii="Arial" w:eastAsia="Arial" w:hAnsi="Arial" w:cs="Arial"/>
                <w:color w:val="000000"/>
                <w:sz w:val="20"/>
              </w:rPr>
              <w:tab/>
            </w:r>
          </w:p>
        </w:tc>
      </w:tr>
      <w:tr w:rsidR="006E60EE" w14:paraId="4AE1E24D"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3AE61391" w14:textId="77777777" w:rsidR="006E60EE" w:rsidRDefault="004E2592">
            <w:pPr>
              <w:keepNext/>
              <w:spacing w:before="75" w:after="30"/>
              <w:ind w:left="240"/>
            </w:pPr>
            <w:r>
              <w:rPr>
                <w:rFonts w:ascii="Arial" w:eastAsia="Arial" w:hAnsi="Arial" w:cs="Arial"/>
                <w:color w:val="000000"/>
                <w:sz w:val="20"/>
              </w:rPr>
              <w:t>Other expense, net</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896EA1" w14:textId="77777777" w:rsidR="006E60EE" w:rsidRDefault="004E2592">
            <w:pPr>
              <w:keepNext/>
              <w:tabs>
                <w:tab w:val="left" w:pos="685"/>
                <w:tab w:val="left" w:pos="1237"/>
              </w:tabs>
              <w:spacing w:before="75" w:after="30"/>
              <w:jc w:val="right"/>
            </w:pPr>
            <w:r>
              <w:rPr>
                <w:rFonts w:ascii="Arial" w:eastAsia="Arial" w:hAnsi="Arial" w:cs="Arial"/>
                <w:color w:val="000000"/>
                <w:sz w:val="20"/>
              </w:rPr>
              <w:tab/>
              <w:t>(20)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E65DEDE"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523D653" w14:textId="77777777" w:rsidR="006E60EE" w:rsidRDefault="004E2592">
            <w:pPr>
              <w:keepNext/>
              <w:tabs>
                <w:tab w:val="left" w:pos="574"/>
                <w:tab w:val="left" w:pos="1237"/>
              </w:tabs>
              <w:spacing w:before="75" w:after="30"/>
              <w:jc w:val="right"/>
            </w:pPr>
            <w:r>
              <w:rPr>
                <w:rFonts w:ascii="Arial" w:eastAsia="Arial" w:hAnsi="Arial" w:cs="Arial"/>
                <w:color w:val="000000"/>
                <w:sz w:val="20"/>
              </w:rPr>
              <w:tab/>
              <w:t>(900)</w:t>
            </w:r>
            <w:r>
              <w:rPr>
                <w:rFonts w:ascii="Arial" w:eastAsia="Arial" w:hAnsi="Arial" w:cs="Arial"/>
                <w:color w:val="000000"/>
                <w:sz w:val="20"/>
              </w:rPr>
              <w:tab/>
            </w:r>
          </w:p>
        </w:tc>
      </w:tr>
      <w:tr w:rsidR="006E60EE" w14:paraId="5A326D36"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56B38DFF" w14:textId="77777777" w:rsidR="006E60EE" w:rsidRDefault="004E2592">
            <w:pPr>
              <w:keepNext/>
              <w:spacing w:before="55" w:after="30"/>
              <w:ind w:left="720"/>
            </w:pPr>
            <w:r>
              <w:rPr>
                <w:rFonts w:ascii="Arial" w:eastAsia="Arial" w:hAnsi="Arial" w:cs="Arial"/>
                <w:color w:val="000000"/>
                <w:sz w:val="20"/>
              </w:rPr>
              <w:t>Total interest and other expense, net</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15B4A4D" w14:textId="77777777" w:rsidR="006E60EE" w:rsidRDefault="004E2592">
            <w:pPr>
              <w:keepNext/>
              <w:tabs>
                <w:tab w:val="left" w:pos="408"/>
                <w:tab w:val="left" w:pos="1237"/>
              </w:tabs>
              <w:spacing w:before="55" w:after="30"/>
              <w:jc w:val="right"/>
            </w:pPr>
            <w:r>
              <w:rPr>
                <w:rFonts w:ascii="Arial" w:eastAsia="Arial" w:hAnsi="Arial" w:cs="Arial"/>
                <w:color w:val="000000"/>
                <w:sz w:val="20"/>
              </w:rPr>
              <w:tab/>
              <w:t>(1,623)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63E3D91" w14:textId="77777777" w:rsidR="006E60EE" w:rsidRDefault="006E60EE">
            <w:pPr>
              <w:keepNext/>
            </w:pP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CCCDC75" w14:textId="77777777" w:rsidR="006E60EE" w:rsidRDefault="004E2592">
            <w:pPr>
              <w:keepNext/>
              <w:tabs>
                <w:tab w:val="left" w:pos="408"/>
                <w:tab w:val="left" w:pos="1237"/>
              </w:tabs>
              <w:spacing w:before="55" w:after="30"/>
              <w:jc w:val="right"/>
            </w:pPr>
            <w:r>
              <w:rPr>
                <w:rFonts w:ascii="Arial" w:eastAsia="Arial" w:hAnsi="Arial" w:cs="Arial"/>
                <w:color w:val="000000"/>
                <w:sz w:val="20"/>
              </w:rPr>
              <w:tab/>
              <w:t>(3,306)</w:t>
            </w:r>
            <w:r>
              <w:rPr>
                <w:rFonts w:ascii="Arial" w:eastAsia="Arial" w:hAnsi="Arial" w:cs="Arial"/>
                <w:color w:val="000000"/>
                <w:sz w:val="20"/>
              </w:rPr>
              <w:tab/>
            </w:r>
          </w:p>
        </w:tc>
      </w:tr>
      <w:tr w:rsidR="006E60EE" w14:paraId="727E812A" w14:textId="77777777">
        <w:trPr>
          <w:cantSplit/>
          <w:trHeight w:hRule="exact" w:val="285"/>
        </w:trPr>
        <w:tc>
          <w:tcPr>
            <w:tcW w:w="7230" w:type="dxa"/>
            <w:tcBorders>
              <w:top w:val="nil"/>
              <w:left w:val="nil"/>
              <w:bottom w:val="nil"/>
              <w:right w:val="nil"/>
            </w:tcBorders>
            <w:shd w:val="clear" w:color="auto" w:fill="FFFFFF"/>
            <w:tcMar>
              <w:top w:w="0" w:type="dxa"/>
              <w:left w:w="0" w:type="dxa"/>
              <w:bottom w:w="0" w:type="dxa"/>
              <w:right w:w="0" w:type="dxa"/>
            </w:tcMar>
            <w:vAlign w:val="bottom"/>
          </w:tcPr>
          <w:p w14:paraId="5B94A26F"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02852CA"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5FD00C0"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61298D8" w14:textId="77777777" w:rsidR="006E60EE" w:rsidRDefault="006E60EE">
            <w:pPr>
              <w:keepNext/>
            </w:pPr>
          </w:p>
        </w:tc>
      </w:tr>
      <w:tr w:rsidR="006E60EE" w14:paraId="2F097A2F"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A2E1B45" w14:textId="77777777" w:rsidR="006E60EE" w:rsidRDefault="004E2592">
            <w:pPr>
              <w:keepNext/>
              <w:spacing w:before="75" w:after="30"/>
            </w:pPr>
            <w:r>
              <w:rPr>
                <w:rFonts w:ascii="Arial" w:eastAsia="Arial" w:hAnsi="Arial" w:cs="Arial"/>
                <w:color w:val="000000"/>
                <w:sz w:val="20"/>
              </w:rPr>
              <w:t>Income before income taxes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5D91F60" w14:textId="77777777" w:rsidR="006E60EE" w:rsidRDefault="004E2592">
            <w:pPr>
              <w:keepNext/>
              <w:tabs>
                <w:tab w:val="left" w:pos="661"/>
                <w:tab w:val="left" w:pos="1237"/>
              </w:tabs>
              <w:spacing w:before="75" w:after="30"/>
              <w:jc w:val="right"/>
            </w:pPr>
            <w:r>
              <w:rPr>
                <w:rFonts w:ascii="Arial" w:eastAsia="Arial" w:hAnsi="Arial" w:cs="Arial"/>
                <w:color w:val="000000"/>
                <w:sz w:val="20"/>
              </w:rPr>
              <w:tab/>
              <w:t>398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59582B7"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3C45BFA"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1,829</w:t>
            </w:r>
            <w:r>
              <w:rPr>
                <w:rFonts w:ascii="Arial" w:eastAsia="Arial" w:hAnsi="Arial" w:cs="Arial"/>
                <w:color w:val="000000"/>
                <w:sz w:val="20"/>
              </w:rPr>
              <w:tab/>
            </w:r>
          </w:p>
        </w:tc>
      </w:tr>
      <w:tr w:rsidR="006E60EE" w14:paraId="56902557"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19A13A4A" w14:textId="77777777" w:rsidR="006E60EE" w:rsidRDefault="004E2592">
            <w:pPr>
              <w:keepNext/>
              <w:spacing w:before="75" w:after="30"/>
            </w:pPr>
            <w:r>
              <w:rPr>
                <w:rFonts w:ascii="Arial" w:eastAsia="Arial" w:hAnsi="Arial" w:cs="Arial"/>
                <w:color w:val="000000"/>
                <w:sz w:val="20"/>
              </w:rPr>
              <w:t>Provision for income taxes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45DADC"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1,690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7EA09AE"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882374C" w14:textId="77777777" w:rsidR="006E60EE" w:rsidRDefault="004E2592">
            <w:pPr>
              <w:keepNext/>
              <w:tabs>
                <w:tab w:val="left" w:pos="494"/>
                <w:tab w:val="left" w:pos="1237"/>
              </w:tabs>
              <w:spacing w:before="75" w:after="30"/>
              <w:jc w:val="right"/>
            </w:pPr>
            <w:r>
              <w:rPr>
                <w:rFonts w:ascii="Arial" w:eastAsia="Arial" w:hAnsi="Arial" w:cs="Arial"/>
                <w:color w:val="000000"/>
                <w:sz w:val="20"/>
              </w:rPr>
              <w:tab/>
              <w:t>2,493</w:t>
            </w:r>
            <w:r>
              <w:rPr>
                <w:rFonts w:ascii="Arial" w:eastAsia="Arial" w:hAnsi="Arial" w:cs="Arial"/>
                <w:color w:val="000000"/>
                <w:sz w:val="20"/>
              </w:rPr>
              <w:tab/>
            </w:r>
          </w:p>
        </w:tc>
      </w:tr>
      <w:tr w:rsidR="006E60EE" w14:paraId="3A2EDA1C" w14:textId="77777777">
        <w:trPr>
          <w:cantSplit/>
          <w:trHeight w:hRule="exact" w:val="285"/>
        </w:trPr>
        <w:tc>
          <w:tcPr>
            <w:tcW w:w="7230" w:type="dxa"/>
            <w:tcBorders>
              <w:top w:val="nil"/>
              <w:left w:val="nil"/>
              <w:bottom w:val="nil"/>
              <w:right w:val="nil"/>
            </w:tcBorders>
            <w:shd w:val="clear" w:color="auto" w:fill="CCEEFF"/>
            <w:tcMar>
              <w:top w:w="0" w:type="dxa"/>
              <w:left w:w="0" w:type="dxa"/>
              <w:bottom w:w="0" w:type="dxa"/>
              <w:right w:w="0" w:type="dxa"/>
            </w:tcMar>
            <w:vAlign w:val="bottom"/>
          </w:tcPr>
          <w:p w14:paraId="72F5666D" w14:textId="77777777" w:rsidR="006E60EE" w:rsidRDefault="006E60EE">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B674C0C"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4DD4A4A" w14:textId="77777777" w:rsidR="006E60EE" w:rsidRDefault="006E60EE">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877E23B" w14:textId="77777777" w:rsidR="006E60EE" w:rsidRDefault="006E60EE">
            <w:pPr>
              <w:keepNext/>
            </w:pPr>
          </w:p>
        </w:tc>
      </w:tr>
      <w:tr w:rsidR="006E60EE" w14:paraId="06A14C4A"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3272347F" w14:textId="77777777" w:rsidR="006E60EE" w:rsidRDefault="004E2592">
            <w:pPr>
              <w:keepNext/>
              <w:spacing w:before="75" w:after="30"/>
            </w:pPr>
            <w:r>
              <w:rPr>
                <w:rFonts w:ascii="Arial" w:eastAsia="Arial" w:hAnsi="Arial" w:cs="Arial"/>
                <w:color w:val="000000"/>
                <w:sz w:val="20"/>
              </w:rPr>
              <w:t>Net loss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254BB2F" w14:textId="77777777" w:rsidR="006E60EE" w:rsidRDefault="004E2592">
            <w:pPr>
              <w:keepNext/>
              <w:tabs>
                <w:tab w:val="left" w:pos="408"/>
                <w:tab w:val="left" w:pos="1237"/>
              </w:tabs>
              <w:spacing w:before="75" w:after="30"/>
              <w:jc w:val="right"/>
            </w:pPr>
            <w:r>
              <w:rPr>
                <w:rFonts w:ascii="Arial" w:eastAsia="Arial" w:hAnsi="Arial" w:cs="Arial"/>
                <w:color w:val="000000"/>
                <w:sz w:val="20"/>
              </w:rPr>
              <w:tab/>
              <w:t>(1,292)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79DEC1D"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077FFE9" w14:textId="77777777" w:rsidR="006E60EE" w:rsidRDefault="004E2592">
            <w:pPr>
              <w:keepNext/>
              <w:tabs>
                <w:tab w:val="left" w:pos="574"/>
                <w:tab w:val="left" w:pos="1237"/>
              </w:tabs>
              <w:spacing w:before="75" w:after="30"/>
              <w:jc w:val="right"/>
            </w:pPr>
            <w:r>
              <w:rPr>
                <w:rFonts w:ascii="Arial" w:eastAsia="Arial" w:hAnsi="Arial" w:cs="Arial"/>
                <w:color w:val="000000"/>
                <w:sz w:val="20"/>
              </w:rPr>
              <w:tab/>
              <w:t>(664)</w:t>
            </w:r>
            <w:r>
              <w:rPr>
                <w:rFonts w:ascii="Arial" w:eastAsia="Arial" w:hAnsi="Arial" w:cs="Arial"/>
                <w:color w:val="000000"/>
                <w:sz w:val="20"/>
              </w:rPr>
              <w:tab/>
            </w:r>
          </w:p>
        </w:tc>
      </w:tr>
      <w:tr w:rsidR="006E60EE" w14:paraId="0E9EA77E"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4F860A9" w14:textId="77777777" w:rsidR="006E60EE" w:rsidRDefault="004E2592">
            <w:pPr>
              <w:keepNext/>
              <w:spacing w:before="75" w:after="30"/>
            </w:pPr>
            <w:r>
              <w:rPr>
                <w:rFonts w:ascii="Arial" w:eastAsia="Arial" w:hAnsi="Arial" w:cs="Arial"/>
                <w:color w:val="000000"/>
                <w:sz w:val="20"/>
              </w:rPr>
              <w:t>Less: Net income (loss) attributable to noncontrolling interests</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7A132EB" w14:textId="77777777" w:rsidR="006E60EE" w:rsidRDefault="004E2592">
            <w:pPr>
              <w:keepNext/>
              <w:tabs>
                <w:tab w:val="left" w:pos="883"/>
                <w:tab w:val="left" w:pos="1237"/>
              </w:tabs>
              <w:spacing w:before="75" w:after="30"/>
              <w:jc w:val="right"/>
            </w:pPr>
            <w:r>
              <w:rPr>
                <w:rFonts w:ascii="Arial" w:eastAsia="Arial" w:hAnsi="Arial" w:cs="Arial"/>
                <w:color w:val="000000"/>
                <w:sz w:val="20"/>
              </w:rPr>
              <w:tab/>
              <w:t>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E2B6790" w14:textId="77777777" w:rsidR="006E60EE" w:rsidRDefault="006E60EE">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2310BCD" w14:textId="77777777" w:rsidR="006E60EE" w:rsidRDefault="004E2592">
            <w:pPr>
              <w:keepNext/>
              <w:tabs>
                <w:tab w:val="left" w:pos="685"/>
                <w:tab w:val="left" w:pos="1237"/>
              </w:tabs>
              <w:spacing w:before="75" w:after="30"/>
              <w:jc w:val="right"/>
            </w:pPr>
            <w:r>
              <w:rPr>
                <w:rFonts w:ascii="Arial" w:eastAsia="Arial" w:hAnsi="Arial" w:cs="Arial"/>
                <w:color w:val="000000"/>
                <w:sz w:val="20"/>
              </w:rPr>
              <w:tab/>
              <w:t>(19)</w:t>
            </w:r>
            <w:r>
              <w:rPr>
                <w:rFonts w:ascii="Arial" w:eastAsia="Arial" w:hAnsi="Arial" w:cs="Arial"/>
                <w:color w:val="000000"/>
                <w:sz w:val="20"/>
              </w:rPr>
              <w:tab/>
            </w:r>
          </w:p>
        </w:tc>
      </w:tr>
      <w:tr w:rsidR="006E60EE" w14:paraId="11C30244"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778C5573" w14:textId="77777777" w:rsidR="006E60EE" w:rsidRDefault="004E2592">
            <w:pPr>
              <w:keepNext/>
              <w:spacing w:before="55" w:after="30"/>
            </w:pPr>
            <w:r>
              <w:rPr>
                <w:rFonts w:ascii="Arial" w:eastAsia="Arial" w:hAnsi="Arial" w:cs="Arial"/>
                <w:color w:val="000000"/>
                <w:sz w:val="20"/>
              </w:rPr>
              <w:t>Net loss attributable to common stockholders</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DB72452" w14:textId="77777777" w:rsidR="006E60EE" w:rsidRDefault="004E2592">
            <w:pPr>
              <w:keepNext/>
              <w:tabs>
                <w:tab w:val="left" w:pos="408"/>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(1,298)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5F94E41" w14:textId="77777777" w:rsidR="006E60EE" w:rsidRDefault="006E60EE">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83C061A" w14:textId="77777777" w:rsidR="006E60EE" w:rsidRDefault="004E2592">
            <w:pPr>
              <w:keepNext/>
              <w:tabs>
                <w:tab w:val="left" w:pos="574"/>
                <w:tab w:val="left" w:pos="1237"/>
              </w:tabs>
              <w:spacing w:before="55" w:after="30"/>
              <w:jc w:val="right"/>
            </w:pPr>
            <w:r>
              <w:rPr>
                <w:rFonts w:ascii="Arial" w:eastAsia="Arial" w:hAnsi="Arial" w:cs="Arial"/>
                <w:color w:val="000000"/>
                <w:sz w:val="20"/>
              </w:rPr>
              <w:t>$</w:t>
            </w:r>
            <w:r>
              <w:rPr>
                <w:rFonts w:ascii="Arial" w:eastAsia="Arial" w:hAnsi="Arial" w:cs="Arial"/>
                <w:color w:val="000000"/>
                <w:sz w:val="20"/>
              </w:rPr>
              <w:tab/>
              <w:t>(645)</w:t>
            </w:r>
            <w:r>
              <w:rPr>
                <w:rFonts w:ascii="Arial" w:eastAsia="Arial" w:hAnsi="Arial" w:cs="Arial"/>
                <w:color w:val="000000"/>
                <w:sz w:val="20"/>
              </w:rPr>
              <w:tab/>
            </w:r>
          </w:p>
        </w:tc>
      </w:tr>
      <w:tr w:rsidR="006E60EE" w14:paraId="7742379A" w14:textId="77777777">
        <w:trPr>
          <w:cantSplit/>
          <w:trHeight w:hRule="exact" w:val="285"/>
        </w:trPr>
        <w:tc>
          <w:tcPr>
            <w:tcW w:w="7230" w:type="dxa"/>
            <w:tcBorders>
              <w:top w:val="nil"/>
              <w:left w:val="nil"/>
              <w:bottom w:val="nil"/>
              <w:right w:val="nil"/>
            </w:tcBorders>
            <w:shd w:val="clear" w:color="auto" w:fill="CCEEFF"/>
            <w:tcMar>
              <w:top w:w="0" w:type="dxa"/>
              <w:left w:w="0" w:type="dxa"/>
              <w:bottom w:w="0" w:type="dxa"/>
              <w:right w:w="0" w:type="dxa"/>
            </w:tcMar>
            <w:vAlign w:val="bottom"/>
          </w:tcPr>
          <w:p w14:paraId="013AB6FC" w14:textId="77777777" w:rsidR="006E60EE" w:rsidRDefault="006E60EE">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48A9193"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2FF9ECE" w14:textId="77777777" w:rsidR="006E60EE" w:rsidRDefault="006E60EE">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37C0113" w14:textId="77777777" w:rsidR="006E60EE" w:rsidRDefault="006E60EE">
            <w:pPr>
              <w:keepNext/>
            </w:pPr>
          </w:p>
        </w:tc>
      </w:tr>
      <w:tr w:rsidR="006E60EE" w14:paraId="38A841C7"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425BF8F8" w14:textId="77777777" w:rsidR="006E60EE" w:rsidRDefault="004E2592">
            <w:pPr>
              <w:keepNext/>
              <w:spacing w:before="75" w:after="30"/>
            </w:pPr>
            <w:r>
              <w:rPr>
                <w:rFonts w:ascii="Arial" w:eastAsia="Arial" w:hAnsi="Arial" w:cs="Arial"/>
                <w:color w:val="000000"/>
                <w:sz w:val="20"/>
              </w:rPr>
              <w:t>Net loss per share attributable to common stockholders:</w:t>
            </w: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5D6B1CD5"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13DEFF1"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0" w:type="dxa"/>
            </w:tcMar>
            <w:vAlign w:val="bottom"/>
          </w:tcPr>
          <w:p w14:paraId="702AE536" w14:textId="77777777" w:rsidR="006E60EE" w:rsidRDefault="006E60EE">
            <w:pPr>
              <w:keepNext/>
            </w:pPr>
          </w:p>
        </w:tc>
      </w:tr>
      <w:tr w:rsidR="006E60EE" w14:paraId="2871E91F"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29F03E32" w14:textId="77777777" w:rsidR="006E60EE" w:rsidRDefault="004E2592">
            <w:pPr>
              <w:keepNext/>
              <w:spacing w:before="75" w:after="30"/>
              <w:ind w:left="240"/>
            </w:pPr>
            <w:r>
              <w:rPr>
                <w:rFonts w:ascii="Arial" w:eastAsia="Arial" w:hAnsi="Arial" w:cs="Arial"/>
                <w:color w:val="000000"/>
                <w:sz w:val="20"/>
              </w:rPr>
              <w:t>Basic</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08EC1E9" w14:textId="77777777" w:rsidR="006E60EE" w:rsidRDefault="004E2592">
            <w:pPr>
              <w:keepNext/>
              <w:tabs>
                <w:tab w:val="left" w:pos="519"/>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FB1AE87"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E817BA9" w14:textId="77777777" w:rsidR="006E60EE" w:rsidRDefault="004E2592">
            <w:pPr>
              <w:keepNext/>
              <w:tabs>
                <w:tab w:val="left" w:pos="519"/>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(0.00)</w:t>
            </w:r>
            <w:r>
              <w:rPr>
                <w:rFonts w:ascii="Arial" w:eastAsia="Arial" w:hAnsi="Arial" w:cs="Arial"/>
                <w:color w:val="000000"/>
                <w:sz w:val="20"/>
              </w:rPr>
              <w:tab/>
            </w:r>
          </w:p>
        </w:tc>
      </w:tr>
      <w:tr w:rsidR="006E60EE" w14:paraId="7DFDDC75"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3509253A" w14:textId="77777777" w:rsidR="006E60EE" w:rsidRDefault="004E2592">
            <w:pPr>
              <w:keepNext/>
              <w:spacing w:before="75" w:after="30"/>
              <w:ind w:left="240"/>
            </w:pPr>
            <w:r>
              <w:rPr>
                <w:rFonts w:ascii="Arial" w:eastAsia="Arial" w:hAnsi="Arial" w:cs="Arial"/>
                <w:color w:val="000000"/>
                <w:sz w:val="20"/>
              </w:rPr>
              <w:t>Diluted</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AE5E92E" w14:textId="77777777" w:rsidR="006E60EE" w:rsidRDefault="004E2592">
            <w:pPr>
              <w:keepNext/>
              <w:tabs>
                <w:tab w:val="left" w:pos="519"/>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12F4BA6"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E75F327" w14:textId="77777777" w:rsidR="006E60EE" w:rsidRDefault="004E2592">
            <w:pPr>
              <w:keepNext/>
              <w:tabs>
                <w:tab w:val="left" w:pos="519"/>
                <w:tab w:val="left" w:pos="1237"/>
              </w:tabs>
              <w:spacing w:before="75" w:after="30"/>
              <w:jc w:val="right"/>
            </w:pPr>
            <w:r>
              <w:rPr>
                <w:rFonts w:ascii="Arial" w:eastAsia="Arial" w:hAnsi="Arial" w:cs="Arial"/>
                <w:color w:val="000000"/>
                <w:sz w:val="20"/>
              </w:rPr>
              <w:t>$</w:t>
            </w:r>
            <w:r>
              <w:rPr>
                <w:rFonts w:ascii="Arial" w:eastAsia="Arial" w:hAnsi="Arial" w:cs="Arial"/>
                <w:color w:val="000000"/>
                <w:sz w:val="20"/>
              </w:rPr>
              <w:tab/>
              <w:t>(0.00)</w:t>
            </w:r>
            <w:r>
              <w:rPr>
                <w:rFonts w:ascii="Arial" w:eastAsia="Arial" w:hAnsi="Arial" w:cs="Arial"/>
                <w:color w:val="000000"/>
                <w:sz w:val="20"/>
              </w:rPr>
              <w:tab/>
            </w:r>
          </w:p>
        </w:tc>
      </w:tr>
      <w:tr w:rsidR="006E60EE" w14:paraId="08CFB0B5" w14:textId="77777777">
        <w:trPr>
          <w:cantSplit/>
          <w:trHeight w:hRule="exact" w:val="285"/>
        </w:trPr>
        <w:tc>
          <w:tcPr>
            <w:tcW w:w="7230" w:type="dxa"/>
            <w:tcBorders>
              <w:top w:val="nil"/>
              <w:left w:val="nil"/>
              <w:bottom w:val="nil"/>
              <w:right w:val="nil"/>
            </w:tcBorders>
            <w:shd w:val="clear" w:color="auto" w:fill="CCEEFF"/>
            <w:tcMar>
              <w:top w:w="0" w:type="dxa"/>
              <w:left w:w="0" w:type="dxa"/>
              <w:bottom w:w="0" w:type="dxa"/>
              <w:right w:w="0" w:type="dxa"/>
            </w:tcMar>
            <w:vAlign w:val="bottom"/>
          </w:tcPr>
          <w:p w14:paraId="0EFF64AD"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76C5F12C"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2C22B42"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0E0249A3" w14:textId="77777777" w:rsidR="006E60EE" w:rsidRDefault="006E60EE">
            <w:pPr>
              <w:keepNext/>
            </w:pPr>
          </w:p>
        </w:tc>
      </w:tr>
      <w:tr w:rsidR="006E60EE" w14:paraId="254FA110"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22BAD5F7" w14:textId="77777777" w:rsidR="006E60EE" w:rsidRDefault="004E2592">
            <w:pPr>
              <w:keepNext/>
              <w:spacing w:before="75" w:after="30"/>
            </w:pPr>
            <w:r>
              <w:rPr>
                <w:rFonts w:ascii="Arial" w:eastAsia="Arial" w:hAnsi="Arial" w:cs="Arial"/>
                <w:color w:val="000000"/>
                <w:sz w:val="20"/>
              </w:rPr>
              <w:t>Weighted average common shares outstanding:</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4AF1FC5" w14:textId="77777777" w:rsidR="006E60EE" w:rsidRDefault="004E2592">
            <w:pPr>
              <w:keepNext/>
              <w:spacing w:before="7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D62CDDC"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2807685" w14:textId="77777777" w:rsidR="006E60EE" w:rsidRDefault="004E2592">
            <w:pPr>
              <w:keepNext/>
              <w:spacing w:before="75" w:after="30"/>
              <w:jc w:val="right"/>
            </w:pPr>
            <w:r>
              <w:rPr>
                <w:rFonts w:ascii="Arial" w:eastAsia="Arial" w:hAnsi="Arial" w:cs="Arial"/>
                <w:color w:val="000000"/>
                <w:sz w:val="20"/>
              </w:rPr>
              <w:t xml:space="preserve"> </w:t>
            </w:r>
          </w:p>
        </w:tc>
      </w:tr>
      <w:tr w:rsidR="006E60EE" w14:paraId="306ACC4A" w14:textId="77777777">
        <w:trPr>
          <w:cantSplit/>
          <w:trHeight w:hRule="exact" w:val="285"/>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AE2A6FE" w14:textId="77777777" w:rsidR="006E60EE" w:rsidRDefault="004E2592">
            <w:pPr>
              <w:keepNext/>
              <w:spacing w:before="75" w:after="30"/>
              <w:ind w:left="240"/>
            </w:pPr>
            <w:r>
              <w:rPr>
                <w:rFonts w:ascii="Arial" w:eastAsia="Arial" w:hAnsi="Arial" w:cs="Arial"/>
                <w:color w:val="000000"/>
                <w:sz w:val="20"/>
              </w:rPr>
              <w:t>Basic</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42D69B7" w14:textId="77777777" w:rsidR="006E60EE" w:rsidRDefault="004E2592">
            <w:pPr>
              <w:keepNext/>
              <w:tabs>
                <w:tab w:val="left" w:pos="272"/>
                <w:tab w:val="left" w:pos="1237"/>
              </w:tabs>
              <w:spacing w:before="75" w:after="30"/>
              <w:jc w:val="right"/>
            </w:pPr>
            <w:r>
              <w:rPr>
                <w:rFonts w:ascii="Arial" w:eastAsia="Arial" w:hAnsi="Arial" w:cs="Arial"/>
                <w:color w:val="000000"/>
                <w:sz w:val="20"/>
              </w:rPr>
              <w:tab/>
              <w:t>375,211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D3D6CAB"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87EB821" w14:textId="77777777" w:rsidR="006E60EE" w:rsidRDefault="004E2592">
            <w:pPr>
              <w:keepNext/>
              <w:tabs>
                <w:tab w:val="left" w:pos="272"/>
                <w:tab w:val="left" w:pos="1237"/>
              </w:tabs>
              <w:spacing w:before="75" w:after="30"/>
              <w:jc w:val="right"/>
            </w:pPr>
            <w:r>
              <w:rPr>
                <w:rFonts w:ascii="Arial" w:eastAsia="Arial" w:hAnsi="Arial" w:cs="Arial"/>
                <w:color w:val="000000"/>
                <w:sz w:val="20"/>
              </w:rPr>
              <w:tab/>
              <w:t>342,794</w:t>
            </w:r>
            <w:r>
              <w:rPr>
                <w:rFonts w:ascii="Arial" w:eastAsia="Arial" w:hAnsi="Arial" w:cs="Arial"/>
                <w:color w:val="000000"/>
                <w:sz w:val="20"/>
              </w:rPr>
              <w:tab/>
            </w:r>
          </w:p>
        </w:tc>
      </w:tr>
      <w:tr w:rsidR="006E60EE" w14:paraId="6CD3491D" w14:textId="77777777">
        <w:trPr>
          <w:cantSplit/>
          <w:trHeight w:hRule="exact" w:val="285"/>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0C2C07EE" w14:textId="77777777" w:rsidR="006E60EE" w:rsidRDefault="004E2592">
            <w:pPr>
              <w:spacing w:before="75" w:after="30"/>
              <w:ind w:left="240"/>
            </w:pPr>
            <w:r>
              <w:rPr>
                <w:rFonts w:ascii="Arial" w:eastAsia="Arial" w:hAnsi="Arial" w:cs="Arial"/>
                <w:color w:val="000000"/>
                <w:sz w:val="20"/>
              </w:rPr>
              <w:t>Diluted</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038EF29" w14:textId="77777777" w:rsidR="006E60EE" w:rsidRDefault="004E2592">
            <w:pPr>
              <w:tabs>
                <w:tab w:val="left" w:pos="272"/>
                <w:tab w:val="left" w:pos="1237"/>
              </w:tabs>
              <w:spacing w:before="75" w:after="30"/>
              <w:jc w:val="right"/>
            </w:pPr>
            <w:r>
              <w:rPr>
                <w:rFonts w:ascii="Arial" w:eastAsia="Arial" w:hAnsi="Arial" w:cs="Arial"/>
                <w:color w:val="000000"/>
                <w:sz w:val="20"/>
              </w:rPr>
              <w:tab/>
              <w:t>375,211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33BA61F" w14:textId="77777777" w:rsidR="006E60EE" w:rsidRDefault="006E60EE"/>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260F63C" w14:textId="77777777" w:rsidR="006E60EE" w:rsidRDefault="004E2592">
            <w:pPr>
              <w:tabs>
                <w:tab w:val="left" w:pos="272"/>
                <w:tab w:val="left" w:pos="1237"/>
              </w:tabs>
              <w:spacing w:before="75" w:after="30"/>
              <w:jc w:val="right"/>
            </w:pPr>
            <w:r>
              <w:rPr>
                <w:rFonts w:ascii="Arial" w:eastAsia="Arial" w:hAnsi="Arial" w:cs="Arial"/>
                <w:color w:val="000000"/>
                <w:sz w:val="20"/>
              </w:rPr>
              <w:tab/>
              <w:t>342,794</w:t>
            </w:r>
            <w:r>
              <w:rPr>
                <w:rFonts w:ascii="Arial" w:eastAsia="Arial" w:hAnsi="Arial" w:cs="Arial"/>
                <w:color w:val="000000"/>
                <w:sz w:val="20"/>
              </w:rPr>
              <w:tab/>
            </w:r>
          </w:p>
        </w:tc>
      </w:tr>
    </w:tbl>
    <w:p w14:paraId="00A8DE44" w14:textId="77777777" w:rsidR="006E60EE" w:rsidRDefault="006E60EE">
      <w:pPr>
        <w:spacing w:line="288" w:lineRule="auto"/>
        <w:rPr>
          <w:rFonts w:ascii="Arial" w:eastAsia="Arial" w:hAnsi="Arial" w:cs="Arial"/>
          <w:sz w:val="2"/>
        </w:rPr>
      </w:pPr>
    </w:p>
    <w:p w14:paraId="69638C93" w14:textId="77777777" w:rsidR="006E60EE" w:rsidRDefault="006E60EE">
      <w:pPr>
        <w:spacing w:line="288" w:lineRule="auto"/>
        <w:rPr>
          <w:rFonts w:ascii="Arial" w:eastAsia="Arial" w:hAnsi="Arial" w:cs="Arial"/>
          <w:sz w:val="2"/>
        </w:rPr>
        <w:sectPr w:rsidR="006E60EE" w:rsidSect="00CD06A6">
          <w:pgSz w:w="12240" w:h="15840"/>
          <w:pgMar w:top="900" w:right="1170" w:bottom="900" w:left="1170" w:header="0" w:footer="0" w:gutter="0"/>
          <w:cols w:space="708"/>
        </w:sectPr>
      </w:pPr>
    </w:p>
    <w:p w14:paraId="2B14D43F" w14:textId="77777777" w:rsidR="006E60EE" w:rsidRDefault="004E2592">
      <w:pPr>
        <w:keepNext/>
        <w:spacing w:line="288" w:lineRule="auto"/>
        <w:jc w:val="center"/>
        <w:outlineLvl w:val="1"/>
        <w:rPr>
          <w:rFonts w:ascii="Arial" w:eastAsia="Arial" w:hAnsi="Arial" w:cs="Arial"/>
          <w:sz w:val="20"/>
        </w:rPr>
      </w:pPr>
      <w:bookmarkStart w:id="2" w:name="Section4"/>
      <w:bookmarkEnd w:id="2"/>
      <w:r>
        <w:rPr>
          <w:rFonts w:ascii="Arial" w:eastAsia="Arial" w:hAnsi="Arial" w:cs="Arial"/>
          <w:sz w:val="20"/>
        </w:rPr>
        <w:lastRenderedPageBreak/>
        <w:t>MariMed Inc.</w:t>
      </w:r>
    </w:p>
    <w:p w14:paraId="591F48F4"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Condensed Consolidated Statements of Cash Flows</w:t>
      </w:r>
    </w:p>
    <w:p w14:paraId="203EB134"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(in thousands)</w:t>
      </w:r>
    </w:p>
    <w:p w14:paraId="2020D556" w14:textId="77777777" w:rsidR="006E60EE" w:rsidRDefault="004E2592">
      <w:pPr>
        <w:keepNext/>
        <w:spacing w:after="200" w:line="288" w:lineRule="auto"/>
        <w:jc w:val="center"/>
        <w:rPr>
          <w:rFonts w:ascii="Arial" w:eastAsia="Arial" w:hAnsi="Arial" w:cs="Arial"/>
          <w:sz w:val="20"/>
        </w:rPr>
      </w:pPr>
      <w:r>
        <w:rPr>
          <w:rFonts w:ascii="Arial" w:eastAsia="Arial" w:hAnsi="Arial" w:cs="Arial"/>
          <w:sz w:val="20"/>
        </w:rPr>
        <w:t>(unaudited)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437"/>
        <w:gridCol w:w="80"/>
        <w:gridCol w:w="1437"/>
      </w:tblGrid>
      <w:tr w:rsidR="006E60EE" w14:paraId="52D24F67" w14:textId="77777777">
        <w:trPr>
          <w:cantSplit/>
          <w:trHeight w:hRule="exact" w:val="285"/>
          <w:tblHeader/>
        </w:trPr>
        <w:tc>
          <w:tcPr>
            <w:tcW w:w="6960" w:type="dxa"/>
            <w:tcBorders>
              <w:top w:val="nil"/>
              <w:left w:val="nil"/>
              <w:bottom w:val="nil"/>
              <w:right w:val="nil"/>
            </w:tcBorders>
            <w:tcMar>
              <w:top w:w="0" w:type="dxa"/>
              <w:left w:w="0" w:type="dxa"/>
              <w:bottom w:w="0" w:type="dxa"/>
              <w:right w:w="0" w:type="dxa"/>
            </w:tcMar>
            <w:vAlign w:val="bottom"/>
          </w:tcPr>
          <w:p w14:paraId="26A4F59F" w14:textId="77777777" w:rsidR="006E60EE" w:rsidRDefault="006E60EE"/>
        </w:tc>
        <w:tc>
          <w:tcPr>
            <w:tcW w:w="2940" w:type="dxa"/>
            <w:gridSpan w:val="3"/>
            <w:tcBorders>
              <w:top w:val="nil"/>
              <w:left w:val="nil"/>
              <w:bottom w:val="nil"/>
              <w:right w:val="nil"/>
            </w:tcBorders>
            <w:tcMar>
              <w:top w:w="0" w:type="dxa"/>
              <w:left w:w="53" w:type="dxa"/>
              <w:bottom w:w="0" w:type="dxa"/>
              <w:right w:w="53" w:type="dxa"/>
            </w:tcMar>
            <w:vAlign w:val="bottom"/>
          </w:tcPr>
          <w:p w14:paraId="216FA324" w14:textId="77777777" w:rsidR="006E60EE" w:rsidRDefault="004E2592">
            <w:pPr>
              <w:spacing w:before="75" w:after="30"/>
              <w:jc w:val="center"/>
            </w:pPr>
            <w:r>
              <w:rPr>
                <w:rFonts w:ascii="Arial" w:eastAsia="Arial" w:hAnsi="Arial" w:cs="Arial"/>
                <w:color w:val="000000"/>
                <w:sz w:val="20"/>
              </w:rPr>
              <w:t>Three months ended</w:t>
            </w:r>
          </w:p>
        </w:tc>
      </w:tr>
      <w:tr w:rsidR="006E60EE" w14:paraId="75E118F7" w14:textId="77777777">
        <w:trPr>
          <w:cantSplit/>
          <w:trHeight w:hRule="exact" w:val="285"/>
          <w:tblHeader/>
        </w:trPr>
        <w:tc>
          <w:tcPr>
            <w:tcW w:w="6960" w:type="dxa"/>
            <w:tcBorders>
              <w:top w:val="nil"/>
              <w:left w:val="nil"/>
              <w:bottom w:val="nil"/>
              <w:right w:val="nil"/>
            </w:tcBorders>
            <w:tcMar>
              <w:top w:w="0" w:type="dxa"/>
              <w:left w:w="0" w:type="dxa"/>
              <w:bottom w:w="0" w:type="dxa"/>
              <w:right w:w="0" w:type="dxa"/>
            </w:tcMar>
            <w:vAlign w:val="bottom"/>
          </w:tcPr>
          <w:p w14:paraId="693D0C84" w14:textId="77777777" w:rsidR="006E60EE" w:rsidRDefault="006E60EE"/>
        </w:tc>
        <w:tc>
          <w:tcPr>
            <w:tcW w:w="2940" w:type="dxa"/>
            <w:gridSpan w:val="3"/>
            <w:tcBorders>
              <w:top w:val="nil"/>
              <w:left w:val="nil"/>
              <w:bottom w:val="single" w:sz="8" w:space="0" w:color="000000"/>
              <w:right w:val="nil"/>
            </w:tcBorders>
            <w:tcMar>
              <w:top w:w="0" w:type="dxa"/>
              <w:left w:w="53" w:type="dxa"/>
              <w:bottom w:w="0" w:type="dxa"/>
              <w:right w:w="53" w:type="dxa"/>
            </w:tcMar>
            <w:vAlign w:val="bottom"/>
          </w:tcPr>
          <w:p w14:paraId="66160595" w14:textId="77777777" w:rsidR="006E60EE" w:rsidRDefault="004E2592">
            <w:pPr>
              <w:spacing w:before="75" w:after="30"/>
              <w:jc w:val="center"/>
              <w:rPr>
                <w:rFonts w:ascii="Arial" w:eastAsia="Arial" w:hAnsi="Arial" w:cs="Arial"/>
                <w:sz w:val="20"/>
              </w:rPr>
            </w:pPr>
            <w:r>
              <w:rPr>
                <w:rFonts w:ascii="Arial" w:eastAsia="Arial" w:hAnsi="Arial" w:cs="Arial"/>
                <w:sz w:val="20"/>
              </w:rPr>
              <w:t>March 31,</w:t>
            </w:r>
          </w:p>
        </w:tc>
      </w:tr>
      <w:tr w:rsidR="006E60EE" w14:paraId="245F2157" w14:textId="77777777">
        <w:trPr>
          <w:cantSplit/>
          <w:trHeight w:hRule="exact" w:val="285"/>
          <w:tblHeader/>
        </w:trPr>
        <w:tc>
          <w:tcPr>
            <w:tcW w:w="6960" w:type="dxa"/>
            <w:tcBorders>
              <w:top w:val="nil"/>
              <w:left w:val="nil"/>
              <w:bottom w:val="nil"/>
              <w:right w:val="nil"/>
            </w:tcBorders>
            <w:tcMar>
              <w:top w:w="0" w:type="dxa"/>
              <w:left w:w="0" w:type="dxa"/>
              <w:bottom w:w="0" w:type="dxa"/>
              <w:right w:w="0" w:type="dxa"/>
            </w:tcMar>
            <w:vAlign w:val="bottom"/>
          </w:tcPr>
          <w:p w14:paraId="5787B4E3" w14:textId="77777777" w:rsidR="006E60EE" w:rsidRDefault="006E60EE"/>
        </w:tc>
        <w:tc>
          <w:tcPr>
            <w:tcW w:w="1440" w:type="dxa"/>
            <w:tcBorders>
              <w:top w:val="nil"/>
              <w:left w:val="nil"/>
              <w:bottom w:val="single" w:sz="8" w:space="0" w:color="000000"/>
              <w:right w:val="nil"/>
            </w:tcBorders>
            <w:tcMar>
              <w:top w:w="0" w:type="dxa"/>
              <w:left w:w="53" w:type="dxa"/>
              <w:bottom w:w="0" w:type="dxa"/>
              <w:right w:w="53" w:type="dxa"/>
            </w:tcMar>
            <w:vAlign w:val="bottom"/>
          </w:tcPr>
          <w:p w14:paraId="0C335DBB" w14:textId="77777777" w:rsidR="006E60EE" w:rsidRDefault="004E2592">
            <w:pPr>
              <w:spacing w:before="55" w:after="30"/>
              <w:jc w:val="center"/>
            </w:pPr>
            <w:r>
              <w:rPr>
                <w:rFonts w:ascii="Arial" w:eastAsia="Arial" w:hAnsi="Arial" w:cs="Arial"/>
                <w:color w:val="000000"/>
                <w:sz w:val="20"/>
              </w:rPr>
              <w:t>2024</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299F8CAD" w14:textId="77777777" w:rsidR="006E60EE" w:rsidRDefault="006E60EE"/>
        </w:tc>
        <w:tc>
          <w:tcPr>
            <w:tcW w:w="144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8E49619" w14:textId="77777777" w:rsidR="006E60EE" w:rsidRDefault="004E2592">
            <w:pPr>
              <w:spacing w:before="55" w:after="30"/>
              <w:jc w:val="center"/>
            </w:pPr>
            <w:r>
              <w:rPr>
                <w:rFonts w:ascii="Arial" w:eastAsia="Arial" w:hAnsi="Arial" w:cs="Arial"/>
                <w:color w:val="000000"/>
                <w:sz w:val="20"/>
              </w:rPr>
              <w:t>2023</w:t>
            </w:r>
          </w:p>
        </w:tc>
      </w:tr>
      <w:tr w:rsidR="006E60EE" w14:paraId="2E27D17C"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708EBB6D" w14:textId="77777777" w:rsidR="006E60EE" w:rsidRDefault="004E2592">
            <w:pPr>
              <w:spacing w:before="55" w:after="30"/>
            </w:pPr>
            <w:r>
              <w:rPr>
                <w:rFonts w:ascii="Arial" w:eastAsia="Arial" w:hAnsi="Arial" w:cs="Arial"/>
                <w:color w:val="000000"/>
                <w:sz w:val="20"/>
              </w:rPr>
              <w:t>Cash flows from operating activities:</w:t>
            </w:r>
          </w:p>
        </w:tc>
        <w:tc>
          <w:tcPr>
            <w:tcW w:w="14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EB946F9" w14:textId="77777777" w:rsidR="006E60EE" w:rsidRDefault="006E60EE"/>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4E49A66"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103E9AA" w14:textId="77777777" w:rsidR="006E60EE" w:rsidRDefault="006E60EE"/>
        </w:tc>
      </w:tr>
      <w:tr w:rsidR="006E60EE" w14:paraId="2367097D"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489C5AC3" w14:textId="77777777" w:rsidR="006E60EE" w:rsidRDefault="004E2592">
            <w:pPr>
              <w:spacing w:before="75" w:after="30"/>
              <w:ind w:left="240"/>
            </w:pPr>
            <w:r>
              <w:rPr>
                <w:rFonts w:ascii="Arial" w:eastAsia="Arial" w:hAnsi="Arial" w:cs="Arial"/>
                <w:color w:val="000000"/>
                <w:sz w:val="20"/>
              </w:rPr>
              <w:t>Net loss attributable to common stockholders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152C714" w14:textId="77777777" w:rsidR="006E60EE" w:rsidRDefault="004E2592">
            <w:pPr>
              <w:tabs>
                <w:tab w:val="left" w:pos="720"/>
              </w:tabs>
              <w:spacing w:before="75" w:after="30"/>
              <w:jc w:val="right"/>
            </w:pPr>
            <w:r>
              <w:rPr>
                <w:rFonts w:ascii="Arial" w:eastAsia="Arial" w:hAnsi="Arial" w:cs="Arial"/>
                <w:color w:val="000000"/>
                <w:sz w:val="20"/>
              </w:rPr>
              <w:t>$</w:t>
            </w:r>
            <w:r>
              <w:rPr>
                <w:rFonts w:ascii="Arial" w:eastAsia="Arial" w:hAnsi="Arial" w:cs="Arial"/>
                <w:color w:val="000000"/>
                <w:sz w:val="20"/>
              </w:rPr>
              <w:tab/>
              <w:t>(1,298)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FAC14BE"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7A4ABFF" w14:textId="77777777" w:rsidR="006E60EE" w:rsidRDefault="004E2592">
            <w:pPr>
              <w:tabs>
                <w:tab w:val="left" w:pos="887"/>
              </w:tabs>
              <w:spacing w:before="75" w:after="30"/>
              <w:jc w:val="right"/>
            </w:pPr>
            <w:r>
              <w:rPr>
                <w:rFonts w:ascii="Arial" w:eastAsia="Arial" w:hAnsi="Arial" w:cs="Arial"/>
                <w:color w:val="000000"/>
                <w:sz w:val="20"/>
              </w:rPr>
              <w:t>$</w:t>
            </w:r>
            <w:r>
              <w:rPr>
                <w:rFonts w:ascii="Arial" w:eastAsia="Arial" w:hAnsi="Arial" w:cs="Arial"/>
                <w:color w:val="000000"/>
                <w:sz w:val="20"/>
              </w:rPr>
              <w:tab/>
              <w:t>(645)</w:t>
            </w:r>
          </w:p>
        </w:tc>
      </w:tr>
      <w:tr w:rsidR="006E60EE" w14:paraId="4725FF62"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42E3CE8F" w14:textId="77777777" w:rsidR="006E60EE" w:rsidRDefault="004E2592">
            <w:pPr>
              <w:spacing w:before="75" w:after="30"/>
              <w:ind w:left="240"/>
            </w:pPr>
            <w:r>
              <w:rPr>
                <w:rFonts w:ascii="Arial" w:eastAsia="Arial" w:hAnsi="Arial" w:cs="Arial"/>
                <w:color w:val="000000"/>
                <w:sz w:val="20"/>
              </w:rPr>
              <w:t>Net income (loss) attributable to noncontrolling interests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8782F19" w14:textId="77777777" w:rsidR="006E60EE" w:rsidRDefault="004E2592">
            <w:pPr>
              <w:tabs>
                <w:tab w:val="left" w:pos="1196"/>
                <w:tab w:val="left" w:pos="1372"/>
              </w:tabs>
              <w:spacing w:before="75" w:after="30"/>
              <w:jc w:val="right"/>
            </w:pPr>
            <w:r>
              <w:rPr>
                <w:rFonts w:ascii="Arial" w:eastAsia="Arial" w:hAnsi="Arial" w:cs="Arial"/>
                <w:color w:val="000000"/>
                <w:sz w:val="20"/>
              </w:rPr>
              <w:tab/>
              <w:t>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B3A22D"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7619F39" w14:textId="77777777" w:rsidR="006E60EE" w:rsidRDefault="004E2592">
            <w:pPr>
              <w:tabs>
                <w:tab w:val="left" w:pos="998"/>
              </w:tabs>
              <w:spacing w:before="75" w:after="30"/>
              <w:jc w:val="right"/>
            </w:pPr>
            <w:r>
              <w:rPr>
                <w:rFonts w:ascii="Arial" w:eastAsia="Arial" w:hAnsi="Arial" w:cs="Arial"/>
                <w:color w:val="000000"/>
                <w:sz w:val="20"/>
              </w:rPr>
              <w:tab/>
              <w:t>(19)</w:t>
            </w:r>
          </w:p>
        </w:tc>
      </w:tr>
      <w:tr w:rsidR="006E60EE" w14:paraId="17C54BC4" w14:textId="77777777">
        <w:trPr>
          <w:cantSplit/>
        </w:trPr>
        <w:tc>
          <w:tcPr>
            <w:tcW w:w="6960" w:type="dxa"/>
            <w:tcBorders>
              <w:top w:val="nil"/>
              <w:left w:val="nil"/>
              <w:bottom w:val="nil"/>
              <w:right w:val="nil"/>
            </w:tcBorders>
            <w:shd w:val="clear" w:color="auto" w:fill="FFFFFF"/>
            <w:tcMar>
              <w:top w:w="0" w:type="dxa"/>
              <w:left w:w="53" w:type="dxa"/>
              <w:bottom w:w="0" w:type="dxa"/>
              <w:right w:w="53" w:type="dxa"/>
            </w:tcMar>
          </w:tcPr>
          <w:p w14:paraId="17C33CDA" w14:textId="77777777" w:rsidR="006E60EE" w:rsidRDefault="004E2592">
            <w:pPr>
              <w:spacing w:before="65" w:after="20"/>
              <w:ind w:left="240"/>
            </w:pPr>
            <w:r>
              <w:rPr>
                <w:rFonts w:ascii="Arial" w:eastAsia="Arial" w:hAnsi="Arial" w:cs="Arial"/>
                <w:color w:val="000000"/>
                <w:sz w:val="20"/>
              </w:rPr>
              <w:t>Adjustments to reconcile net income (loss) to cash provided by operating activities: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38024067" w14:textId="77777777" w:rsidR="006E60EE" w:rsidRDefault="006E60EE"/>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6D74A7"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0720FE38" w14:textId="77777777" w:rsidR="006E60EE" w:rsidRDefault="006E60EE"/>
        </w:tc>
      </w:tr>
      <w:tr w:rsidR="006E60EE" w14:paraId="3E73EBD6"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06F85222" w14:textId="77777777" w:rsidR="006E60EE" w:rsidRDefault="004E2592">
            <w:pPr>
              <w:spacing w:before="75" w:after="30"/>
              <w:ind w:left="480"/>
            </w:pPr>
            <w:r>
              <w:rPr>
                <w:rFonts w:ascii="Arial" w:eastAsia="Arial" w:hAnsi="Arial" w:cs="Arial"/>
                <w:color w:val="000000"/>
                <w:sz w:val="20"/>
              </w:rPr>
              <w:t>Depreciation and amortization of property and equipment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F73911A" w14:textId="77777777" w:rsidR="006E60EE" w:rsidRDefault="004E2592">
            <w:pPr>
              <w:tabs>
                <w:tab w:val="left" w:pos="807"/>
                <w:tab w:val="left" w:pos="1372"/>
              </w:tabs>
              <w:spacing w:before="75" w:after="30"/>
              <w:jc w:val="right"/>
            </w:pPr>
            <w:r>
              <w:rPr>
                <w:rFonts w:ascii="Arial" w:eastAsia="Arial" w:hAnsi="Arial" w:cs="Arial"/>
                <w:color w:val="000000"/>
                <w:sz w:val="20"/>
              </w:rPr>
              <w:tab/>
              <w:t>1,938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F929FD7"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70AA54B" w14:textId="77777777" w:rsidR="006E60EE" w:rsidRDefault="004E2592">
            <w:pPr>
              <w:tabs>
                <w:tab w:val="left" w:pos="974"/>
                <w:tab w:val="left" w:pos="1372"/>
              </w:tabs>
              <w:spacing w:before="75" w:after="30"/>
              <w:jc w:val="right"/>
            </w:pPr>
            <w:r>
              <w:rPr>
                <w:rFonts w:ascii="Arial" w:eastAsia="Arial" w:hAnsi="Arial" w:cs="Arial"/>
                <w:color w:val="000000"/>
                <w:sz w:val="20"/>
              </w:rPr>
              <w:tab/>
              <w:t>986</w:t>
            </w:r>
            <w:r>
              <w:rPr>
                <w:rFonts w:ascii="Arial" w:eastAsia="Arial" w:hAnsi="Arial" w:cs="Arial"/>
                <w:color w:val="000000"/>
                <w:sz w:val="20"/>
              </w:rPr>
              <w:tab/>
            </w:r>
          </w:p>
        </w:tc>
      </w:tr>
      <w:tr w:rsidR="006E60EE" w14:paraId="5D3A40D8"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002B566D" w14:textId="77777777" w:rsidR="006E60EE" w:rsidRDefault="004E2592">
            <w:pPr>
              <w:spacing w:before="75" w:after="30"/>
              <w:ind w:left="480"/>
            </w:pPr>
            <w:r>
              <w:rPr>
                <w:rFonts w:ascii="Arial" w:eastAsia="Arial" w:hAnsi="Arial" w:cs="Arial"/>
                <w:color w:val="000000"/>
                <w:sz w:val="20"/>
              </w:rPr>
              <w:t>Amortization of intangible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99F335F" w14:textId="77777777" w:rsidR="006E60EE" w:rsidRDefault="004E2592">
            <w:pPr>
              <w:tabs>
                <w:tab w:val="left" w:pos="974"/>
                <w:tab w:val="left" w:pos="1372"/>
              </w:tabs>
              <w:spacing w:before="75" w:after="30"/>
              <w:jc w:val="right"/>
            </w:pPr>
            <w:r>
              <w:rPr>
                <w:rFonts w:ascii="Arial" w:eastAsia="Arial" w:hAnsi="Arial" w:cs="Arial"/>
                <w:color w:val="000000"/>
                <w:sz w:val="20"/>
              </w:rPr>
              <w:tab/>
              <w:t>374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B827798"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732A6EB" w14:textId="77777777" w:rsidR="006E60EE" w:rsidRDefault="004E2592">
            <w:pPr>
              <w:tabs>
                <w:tab w:val="left" w:pos="974"/>
                <w:tab w:val="left" w:pos="1372"/>
              </w:tabs>
              <w:spacing w:before="75" w:after="30"/>
              <w:jc w:val="right"/>
            </w:pPr>
            <w:r>
              <w:rPr>
                <w:rFonts w:ascii="Arial" w:eastAsia="Arial" w:hAnsi="Arial" w:cs="Arial"/>
                <w:color w:val="000000"/>
                <w:sz w:val="20"/>
              </w:rPr>
              <w:tab/>
              <w:t>557</w:t>
            </w:r>
            <w:r>
              <w:rPr>
                <w:rFonts w:ascii="Arial" w:eastAsia="Arial" w:hAnsi="Arial" w:cs="Arial"/>
                <w:color w:val="000000"/>
                <w:sz w:val="20"/>
              </w:rPr>
              <w:tab/>
            </w:r>
          </w:p>
        </w:tc>
      </w:tr>
      <w:tr w:rsidR="006E60EE" w14:paraId="5CCC8E01"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1ED688B8" w14:textId="77777777" w:rsidR="006E60EE" w:rsidRDefault="004E2592">
            <w:pPr>
              <w:spacing w:before="75" w:after="30"/>
              <w:ind w:left="480"/>
            </w:pPr>
            <w:r>
              <w:rPr>
                <w:rFonts w:ascii="Arial" w:eastAsia="Arial" w:hAnsi="Arial" w:cs="Arial"/>
                <w:color w:val="000000"/>
                <w:sz w:val="20"/>
              </w:rPr>
              <w:t>Stock-based compensation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747C40D" w14:textId="77777777" w:rsidR="006E60EE" w:rsidRDefault="004E2592">
            <w:pPr>
              <w:tabs>
                <w:tab w:val="left" w:pos="974"/>
                <w:tab w:val="left" w:pos="1372"/>
              </w:tabs>
              <w:spacing w:before="75" w:after="30"/>
              <w:jc w:val="right"/>
            </w:pPr>
            <w:r>
              <w:rPr>
                <w:rFonts w:ascii="Arial" w:eastAsia="Arial" w:hAnsi="Arial" w:cs="Arial"/>
                <w:color w:val="000000"/>
                <w:sz w:val="20"/>
              </w:rPr>
              <w:tab/>
              <w:t>244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738EBF6"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DC0E98D" w14:textId="77777777" w:rsidR="006E60EE" w:rsidRDefault="004E2592">
            <w:pPr>
              <w:tabs>
                <w:tab w:val="left" w:pos="974"/>
                <w:tab w:val="left" w:pos="1372"/>
              </w:tabs>
              <w:spacing w:before="75" w:after="30"/>
              <w:jc w:val="right"/>
            </w:pPr>
            <w:r>
              <w:rPr>
                <w:rFonts w:ascii="Arial" w:eastAsia="Arial" w:hAnsi="Arial" w:cs="Arial"/>
                <w:color w:val="000000"/>
                <w:sz w:val="20"/>
              </w:rPr>
              <w:tab/>
              <w:t>208</w:t>
            </w:r>
            <w:r>
              <w:rPr>
                <w:rFonts w:ascii="Arial" w:eastAsia="Arial" w:hAnsi="Arial" w:cs="Arial"/>
                <w:color w:val="000000"/>
                <w:sz w:val="20"/>
              </w:rPr>
              <w:tab/>
            </w:r>
          </w:p>
        </w:tc>
      </w:tr>
      <w:tr w:rsidR="006E60EE" w14:paraId="3EF2E75E"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2E7096A7" w14:textId="77777777" w:rsidR="006E60EE" w:rsidRDefault="004E2592">
            <w:pPr>
              <w:spacing w:before="75" w:after="30"/>
              <w:ind w:left="480"/>
            </w:pPr>
            <w:r>
              <w:rPr>
                <w:rFonts w:ascii="Arial" w:eastAsia="Arial" w:hAnsi="Arial" w:cs="Arial"/>
                <w:color w:val="000000"/>
                <w:sz w:val="20"/>
              </w:rPr>
              <w:t>Amortization of original debt issuance discount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05059CA"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5915B0D"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45EABD6" w14:textId="77777777" w:rsidR="006E60EE" w:rsidRDefault="004E2592">
            <w:pPr>
              <w:tabs>
                <w:tab w:val="left" w:pos="1085"/>
                <w:tab w:val="left" w:pos="1372"/>
              </w:tabs>
              <w:spacing w:before="75" w:after="30"/>
              <w:jc w:val="right"/>
            </w:pPr>
            <w:r>
              <w:rPr>
                <w:rFonts w:ascii="Arial" w:eastAsia="Arial" w:hAnsi="Arial" w:cs="Arial"/>
                <w:color w:val="000000"/>
                <w:sz w:val="20"/>
              </w:rPr>
              <w:tab/>
              <w:t>55</w:t>
            </w:r>
            <w:r>
              <w:rPr>
                <w:rFonts w:ascii="Arial" w:eastAsia="Arial" w:hAnsi="Arial" w:cs="Arial"/>
                <w:color w:val="000000"/>
                <w:sz w:val="20"/>
              </w:rPr>
              <w:tab/>
            </w:r>
          </w:p>
        </w:tc>
      </w:tr>
      <w:tr w:rsidR="006E60EE" w14:paraId="3AA956EB"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07A2C496" w14:textId="77777777" w:rsidR="006E60EE" w:rsidRDefault="004E2592">
            <w:pPr>
              <w:spacing w:before="75" w:after="30"/>
              <w:ind w:left="480"/>
            </w:pPr>
            <w:r>
              <w:rPr>
                <w:rFonts w:ascii="Arial" w:eastAsia="Arial" w:hAnsi="Arial" w:cs="Arial"/>
                <w:color w:val="000000"/>
                <w:sz w:val="20"/>
              </w:rPr>
              <w:t>Amortization of debt discount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A5C7441" w14:textId="77777777" w:rsidR="006E60EE" w:rsidRDefault="004E2592">
            <w:pPr>
              <w:tabs>
                <w:tab w:val="left" w:pos="1085"/>
                <w:tab w:val="left" w:pos="1372"/>
              </w:tabs>
              <w:spacing w:before="75" w:after="30"/>
              <w:jc w:val="right"/>
            </w:pPr>
            <w:r>
              <w:rPr>
                <w:rFonts w:ascii="Arial" w:eastAsia="Arial" w:hAnsi="Arial" w:cs="Arial"/>
                <w:color w:val="000000"/>
                <w:sz w:val="20"/>
              </w:rPr>
              <w:tab/>
              <w:t>87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7E49936"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7D67DEA" w14:textId="77777777" w:rsidR="006E60EE" w:rsidRDefault="004E2592">
            <w:pPr>
              <w:tabs>
                <w:tab w:val="left" w:pos="974"/>
                <w:tab w:val="left" w:pos="1372"/>
              </w:tabs>
              <w:spacing w:before="75" w:after="30"/>
              <w:jc w:val="right"/>
            </w:pPr>
            <w:r>
              <w:rPr>
                <w:rFonts w:ascii="Arial" w:eastAsia="Arial" w:hAnsi="Arial" w:cs="Arial"/>
                <w:color w:val="000000"/>
                <w:sz w:val="20"/>
              </w:rPr>
              <w:tab/>
              <w:t>328</w:t>
            </w:r>
            <w:r>
              <w:rPr>
                <w:rFonts w:ascii="Arial" w:eastAsia="Arial" w:hAnsi="Arial" w:cs="Arial"/>
                <w:color w:val="000000"/>
                <w:sz w:val="20"/>
              </w:rPr>
              <w:tab/>
            </w:r>
          </w:p>
        </w:tc>
      </w:tr>
      <w:tr w:rsidR="006E60EE" w14:paraId="3490A810"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0D785834" w14:textId="77777777" w:rsidR="006E60EE" w:rsidRDefault="004E2592">
            <w:pPr>
              <w:spacing w:before="75" w:after="30"/>
              <w:ind w:left="480"/>
            </w:pPr>
            <w:r>
              <w:rPr>
                <w:rFonts w:ascii="Arial" w:eastAsia="Arial" w:hAnsi="Arial" w:cs="Arial"/>
                <w:color w:val="000000"/>
                <w:sz w:val="20"/>
              </w:rPr>
              <w:t>Amortization of debt issuance costs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CDC8CC5" w14:textId="77777777" w:rsidR="006E60EE" w:rsidRDefault="004E2592">
            <w:pPr>
              <w:tabs>
                <w:tab w:val="left" w:pos="1085"/>
                <w:tab w:val="left" w:pos="1372"/>
              </w:tabs>
              <w:spacing w:before="75" w:after="30"/>
              <w:jc w:val="right"/>
            </w:pPr>
            <w:r>
              <w:rPr>
                <w:rFonts w:ascii="Arial" w:eastAsia="Arial" w:hAnsi="Arial" w:cs="Arial"/>
                <w:color w:val="000000"/>
                <w:sz w:val="20"/>
              </w:rPr>
              <w:tab/>
              <w:t>18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47" w:type="dxa"/>
              <w:bottom w:w="0" w:type="dxa"/>
              <w:right w:w="13" w:type="dxa"/>
            </w:tcMar>
            <w:vAlign w:val="bottom"/>
          </w:tcPr>
          <w:p w14:paraId="14113F28" w14:textId="77777777" w:rsidR="006E60EE" w:rsidRDefault="006E60EE">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4B08FFC"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6E60EE" w14:paraId="5C5FC276"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2C8C4ED9" w14:textId="77777777" w:rsidR="006E60EE" w:rsidRDefault="004E2592">
            <w:pPr>
              <w:spacing w:before="75" w:after="30"/>
              <w:ind w:left="480"/>
            </w:pPr>
            <w:r>
              <w:rPr>
                <w:rFonts w:ascii="Arial" w:eastAsia="Arial" w:hAnsi="Arial" w:cs="Arial"/>
                <w:color w:val="000000"/>
                <w:sz w:val="20"/>
              </w:rPr>
              <w:t>Payment-in-kind interest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DB996ED" w14:textId="77777777" w:rsidR="006E60EE" w:rsidRDefault="004E2592">
            <w:pPr>
              <w:tabs>
                <w:tab w:val="left" w:pos="1085"/>
                <w:tab w:val="left" w:pos="1372"/>
              </w:tabs>
              <w:spacing w:before="75" w:after="30"/>
              <w:jc w:val="right"/>
            </w:pPr>
            <w:r>
              <w:rPr>
                <w:rFonts w:ascii="Arial" w:eastAsia="Arial" w:hAnsi="Arial" w:cs="Arial"/>
                <w:color w:val="000000"/>
                <w:sz w:val="20"/>
              </w:rPr>
              <w:tab/>
              <w:t>14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3DFCF7F"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C282D53" w14:textId="77777777" w:rsidR="006E60EE" w:rsidRDefault="004E2592">
            <w:pPr>
              <w:tabs>
                <w:tab w:val="left" w:pos="974"/>
                <w:tab w:val="left" w:pos="1372"/>
              </w:tabs>
              <w:spacing w:before="75" w:after="30"/>
              <w:jc w:val="right"/>
            </w:pPr>
            <w:r>
              <w:rPr>
                <w:rFonts w:ascii="Arial" w:eastAsia="Arial" w:hAnsi="Arial" w:cs="Arial"/>
                <w:color w:val="000000"/>
                <w:sz w:val="20"/>
              </w:rPr>
              <w:tab/>
              <w:t>118</w:t>
            </w:r>
            <w:r>
              <w:rPr>
                <w:rFonts w:ascii="Arial" w:eastAsia="Arial" w:hAnsi="Arial" w:cs="Arial"/>
                <w:color w:val="000000"/>
                <w:sz w:val="20"/>
              </w:rPr>
              <w:tab/>
            </w:r>
          </w:p>
        </w:tc>
      </w:tr>
      <w:tr w:rsidR="006E60EE" w14:paraId="32A5DE2D"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60B405B4" w14:textId="77777777" w:rsidR="006E60EE" w:rsidRDefault="004E2592">
            <w:pPr>
              <w:spacing w:before="75" w:after="30"/>
              <w:ind w:left="480"/>
            </w:pPr>
            <w:r>
              <w:rPr>
                <w:rFonts w:ascii="Arial" w:eastAsia="Arial" w:hAnsi="Arial" w:cs="Arial"/>
                <w:color w:val="000000"/>
                <w:sz w:val="20"/>
              </w:rPr>
              <w:t>Present value adjustment of notes payable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54BA640"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235D99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6EA3953" w14:textId="77777777" w:rsidR="006E60EE" w:rsidRDefault="004E2592">
            <w:pPr>
              <w:tabs>
                <w:tab w:val="left" w:pos="974"/>
                <w:tab w:val="left" w:pos="1372"/>
              </w:tabs>
              <w:spacing w:before="75" w:after="30"/>
              <w:jc w:val="right"/>
            </w:pPr>
            <w:r>
              <w:rPr>
                <w:rFonts w:ascii="Arial" w:eastAsia="Arial" w:hAnsi="Arial" w:cs="Arial"/>
                <w:color w:val="000000"/>
                <w:sz w:val="20"/>
              </w:rPr>
              <w:tab/>
              <w:t>719</w:t>
            </w:r>
            <w:r>
              <w:rPr>
                <w:rFonts w:ascii="Arial" w:eastAsia="Arial" w:hAnsi="Arial" w:cs="Arial"/>
                <w:color w:val="000000"/>
                <w:sz w:val="20"/>
              </w:rPr>
              <w:tab/>
            </w:r>
          </w:p>
        </w:tc>
      </w:tr>
      <w:tr w:rsidR="006E60EE" w14:paraId="17F91536" w14:textId="77777777">
        <w:trPr>
          <w:cantSplit/>
        </w:trPr>
        <w:tc>
          <w:tcPr>
            <w:tcW w:w="6960" w:type="dxa"/>
            <w:tcBorders>
              <w:top w:val="nil"/>
              <w:left w:val="nil"/>
              <w:bottom w:val="nil"/>
              <w:right w:val="nil"/>
            </w:tcBorders>
            <w:shd w:val="clear" w:color="auto" w:fill="CCEEFF"/>
            <w:tcMar>
              <w:top w:w="0" w:type="dxa"/>
              <w:left w:w="53" w:type="dxa"/>
              <w:bottom w:w="0" w:type="dxa"/>
              <w:right w:w="53" w:type="dxa"/>
            </w:tcMar>
          </w:tcPr>
          <w:p w14:paraId="20492098" w14:textId="77777777" w:rsidR="006E60EE" w:rsidRDefault="004E2592">
            <w:pPr>
              <w:spacing w:before="65" w:after="20"/>
              <w:ind w:left="480"/>
            </w:pPr>
            <w:r>
              <w:rPr>
                <w:rFonts w:ascii="Arial" w:eastAsia="Arial" w:hAnsi="Arial" w:cs="Arial"/>
                <w:color w:val="000000"/>
                <w:sz w:val="20"/>
              </w:rPr>
              <w:t>Bad debt income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0741C32" w14:textId="77777777" w:rsidR="006E60EE" w:rsidRDefault="004E2592">
            <w:pPr>
              <w:tabs>
                <w:tab w:val="left" w:pos="1107"/>
                <w:tab w:val="left" w:pos="1372"/>
              </w:tabs>
              <w:spacing w:before="65" w:after="2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16A6DBF"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B013273" w14:textId="77777777" w:rsidR="006E60EE" w:rsidRDefault="004E2592">
            <w:pPr>
              <w:tabs>
                <w:tab w:val="left" w:pos="998"/>
              </w:tabs>
              <w:spacing w:before="65" w:after="20"/>
              <w:jc w:val="right"/>
            </w:pPr>
            <w:r>
              <w:rPr>
                <w:rFonts w:ascii="Arial" w:eastAsia="Arial" w:hAnsi="Arial" w:cs="Arial"/>
                <w:color w:val="000000"/>
                <w:sz w:val="20"/>
              </w:rPr>
              <w:tab/>
              <w:t>(44)</w:t>
            </w:r>
          </w:p>
        </w:tc>
      </w:tr>
      <w:tr w:rsidR="006E60EE" w14:paraId="631FF53B"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49AF6B45" w14:textId="77777777" w:rsidR="006E60EE" w:rsidRDefault="004E2592">
            <w:pPr>
              <w:spacing w:before="75" w:after="30"/>
              <w:ind w:left="480"/>
            </w:pPr>
            <w:r>
              <w:rPr>
                <w:rFonts w:ascii="Arial" w:eastAsia="Arial" w:hAnsi="Arial" w:cs="Arial"/>
                <w:color w:val="000000"/>
                <w:sz w:val="20"/>
              </w:rPr>
              <w:t>Obligations settled with common stock</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9B307D0" w14:textId="77777777" w:rsidR="006E60EE" w:rsidRDefault="004E2592">
            <w:pPr>
              <w:tabs>
                <w:tab w:val="left" w:pos="1196"/>
                <w:tab w:val="left" w:pos="1372"/>
              </w:tabs>
              <w:spacing w:before="75" w:after="30"/>
              <w:jc w:val="right"/>
            </w:pPr>
            <w:r>
              <w:rPr>
                <w:rFonts w:ascii="Arial" w:eastAsia="Arial" w:hAnsi="Arial" w:cs="Arial"/>
                <w:color w:val="000000"/>
                <w:sz w:val="20"/>
              </w:rPr>
              <w:tab/>
              <w:t>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3F96E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68DA5D6" w14:textId="77777777" w:rsidR="006E60EE" w:rsidRDefault="004E2592">
            <w:pPr>
              <w:tabs>
                <w:tab w:val="left" w:pos="1196"/>
                <w:tab w:val="left" w:pos="1372"/>
              </w:tabs>
              <w:spacing w:before="75" w:after="30"/>
              <w:jc w:val="right"/>
            </w:pPr>
            <w:r>
              <w:rPr>
                <w:rFonts w:ascii="Arial" w:eastAsia="Arial" w:hAnsi="Arial" w:cs="Arial"/>
                <w:color w:val="000000"/>
                <w:sz w:val="20"/>
              </w:rPr>
              <w:tab/>
              <w:t>1</w:t>
            </w:r>
            <w:r>
              <w:rPr>
                <w:rFonts w:ascii="Arial" w:eastAsia="Arial" w:hAnsi="Arial" w:cs="Arial"/>
                <w:color w:val="000000"/>
                <w:sz w:val="20"/>
              </w:rPr>
              <w:tab/>
            </w:r>
          </w:p>
        </w:tc>
      </w:tr>
      <w:tr w:rsidR="006E60EE" w14:paraId="558A932A"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5C0FC740" w14:textId="77777777" w:rsidR="006E60EE" w:rsidRDefault="004E2592">
            <w:pPr>
              <w:spacing w:before="75" w:after="30"/>
              <w:ind w:left="480"/>
            </w:pPr>
            <w:r>
              <w:rPr>
                <w:rFonts w:ascii="Arial" w:eastAsia="Arial" w:hAnsi="Arial" w:cs="Arial"/>
                <w:color w:val="000000"/>
                <w:sz w:val="20"/>
              </w:rPr>
              <w:t>Write-off of disposed assets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45BD4E3" w14:textId="77777777" w:rsidR="006E60EE" w:rsidRDefault="004E2592">
            <w:pPr>
              <w:tabs>
                <w:tab w:val="left" w:pos="1196"/>
                <w:tab w:val="left" w:pos="1372"/>
              </w:tabs>
              <w:spacing w:before="75" w:after="30"/>
              <w:jc w:val="right"/>
            </w:pPr>
            <w:r>
              <w:rPr>
                <w:rFonts w:ascii="Arial" w:eastAsia="Arial" w:hAnsi="Arial" w:cs="Arial"/>
                <w:color w:val="000000"/>
                <w:sz w:val="20"/>
              </w:rPr>
              <w:tab/>
              <w:t>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47" w:type="dxa"/>
              <w:bottom w:w="0" w:type="dxa"/>
              <w:right w:w="13" w:type="dxa"/>
            </w:tcMar>
            <w:vAlign w:val="bottom"/>
          </w:tcPr>
          <w:p w14:paraId="32030539" w14:textId="77777777" w:rsidR="006E60EE" w:rsidRDefault="006E60EE">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8EC1FBE" w14:textId="77777777" w:rsidR="006E60EE" w:rsidRDefault="004E2592">
            <w:pPr>
              <w:tabs>
                <w:tab w:val="left" w:pos="974"/>
                <w:tab w:val="left" w:pos="1372"/>
              </w:tabs>
              <w:spacing w:before="75" w:after="30"/>
              <w:jc w:val="right"/>
            </w:pPr>
            <w:r>
              <w:rPr>
                <w:rFonts w:ascii="Arial" w:eastAsia="Arial" w:hAnsi="Arial" w:cs="Arial"/>
                <w:color w:val="000000"/>
                <w:sz w:val="20"/>
              </w:rPr>
              <w:tab/>
              <w:t>906</w:t>
            </w:r>
            <w:r>
              <w:rPr>
                <w:rFonts w:ascii="Arial" w:eastAsia="Arial" w:hAnsi="Arial" w:cs="Arial"/>
                <w:color w:val="000000"/>
                <w:sz w:val="20"/>
              </w:rPr>
              <w:tab/>
            </w:r>
          </w:p>
        </w:tc>
      </w:tr>
      <w:tr w:rsidR="006E60EE" w14:paraId="1F8B95F9"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03C959D" w14:textId="77777777" w:rsidR="006E60EE" w:rsidRDefault="004E2592">
            <w:pPr>
              <w:spacing w:before="75" w:after="30"/>
              <w:ind w:left="480"/>
            </w:pPr>
            <w:r>
              <w:rPr>
                <w:rFonts w:ascii="Arial" w:eastAsia="Arial" w:hAnsi="Arial" w:cs="Arial"/>
                <w:color w:val="000000"/>
                <w:sz w:val="20"/>
              </w:rPr>
              <w:t>Gain on finance lease adjustment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F447C54"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47" w:type="dxa"/>
              <w:bottom w:w="0" w:type="dxa"/>
              <w:right w:w="13" w:type="dxa"/>
            </w:tcMar>
            <w:vAlign w:val="bottom"/>
          </w:tcPr>
          <w:p w14:paraId="3162899E" w14:textId="77777777" w:rsidR="006E60EE" w:rsidRDefault="006E60EE">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C4649D7" w14:textId="77777777" w:rsidR="006E60EE" w:rsidRDefault="004E2592">
            <w:pPr>
              <w:tabs>
                <w:tab w:val="left" w:pos="998"/>
              </w:tabs>
              <w:spacing w:before="75" w:after="30"/>
              <w:jc w:val="right"/>
            </w:pPr>
            <w:r>
              <w:rPr>
                <w:rFonts w:ascii="Arial" w:eastAsia="Arial" w:hAnsi="Arial" w:cs="Arial"/>
                <w:color w:val="000000"/>
                <w:sz w:val="20"/>
              </w:rPr>
              <w:tab/>
              <w:t>(13)</w:t>
            </w:r>
          </w:p>
        </w:tc>
      </w:tr>
      <w:tr w:rsidR="006E60EE" w14:paraId="71BB0542"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49053544" w14:textId="77777777" w:rsidR="006E60EE" w:rsidRDefault="004E2592">
            <w:pPr>
              <w:spacing w:before="75" w:after="30"/>
              <w:ind w:left="480"/>
            </w:pPr>
            <w:r>
              <w:rPr>
                <w:rFonts w:ascii="Arial" w:eastAsia="Arial" w:hAnsi="Arial" w:cs="Arial"/>
                <w:color w:val="000000"/>
                <w:sz w:val="20"/>
              </w:rPr>
              <w:t>Loss on changes in fair value of investments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7D95A4D" w14:textId="77777777" w:rsidR="006E60EE" w:rsidRDefault="004E2592">
            <w:pPr>
              <w:tabs>
                <w:tab w:val="left" w:pos="974"/>
                <w:tab w:val="left" w:pos="1372"/>
              </w:tabs>
              <w:spacing w:before="75" w:after="30"/>
              <w:jc w:val="right"/>
            </w:pPr>
            <w:r>
              <w:rPr>
                <w:rFonts w:ascii="Arial" w:eastAsia="Arial" w:hAnsi="Arial" w:cs="Arial"/>
                <w:color w:val="000000"/>
                <w:sz w:val="20"/>
              </w:rPr>
              <w:tab/>
              <w:t>121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86A2BB2"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C1AF879" w14:textId="77777777" w:rsidR="006E60EE" w:rsidRDefault="004E2592">
            <w:pPr>
              <w:tabs>
                <w:tab w:val="left" w:pos="1085"/>
                <w:tab w:val="left" w:pos="1372"/>
              </w:tabs>
              <w:spacing w:before="75" w:after="30"/>
              <w:jc w:val="right"/>
            </w:pPr>
            <w:r>
              <w:rPr>
                <w:rFonts w:ascii="Arial" w:eastAsia="Arial" w:hAnsi="Arial" w:cs="Arial"/>
                <w:color w:val="000000"/>
                <w:sz w:val="20"/>
              </w:rPr>
              <w:tab/>
              <w:t>20</w:t>
            </w:r>
            <w:r>
              <w:rPr>
                <w:rFonts w:ascii="Arial" w:eastAsia="Arial" w:hAnsi="Arial" w:cs="Arial"/>
                <w:color w:val="000000"/>
                <w:sz w:val="20"/>
              </w:rPr>
              <w:tab/>
            </w:r>
          </w:p>
        </w:tc>
      </w:tr>
      <w:tr w:rsidR="006E60EE" w14:paraId="6D4624C1"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2EC5A3DF" w14:textId="77777777" w:rsidR="006E60EE" w:rsidRDefault="004E2592">
            <w:pPr>
              <w:spacing w:before="75" w:after="30"/>
              <w:ind w:left="480"/>
            </w:pPr>
            <w:r>
              <w:rPr>
                <w:rFonts w:ascii="Arial" w:eastAsia="Arial" w:hAnsi="Arial" w:cs="Arial"/>
                <w:color w:val="000000"/>
                <w:sz w:val="20"/>
              </w:rPr>
              <w:t>Changes in operating assets and liabilities: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6F2C7541" w14:textId="77777777" w:rsidR="006E60EE" w:rsidRDefault="006E60EE"/>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9B3740"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38A356CF" w14:textId="77777777" w:rsidR="006E60EE" w:rsidRDefault="006E60EE"/>
        </w:tc>
      </w:tr>
      <w:tr w:rsidR="006E60EE" w14:paraId="6FD56AE7" w14:textId="77777777">
        <w:trPr>
          <w:cantSplit/>
        </w:trPr>
        <w:tc>
          <w:tcPr>
            <w:tcW w:w="6960" w:type="dxa"/>
            <w:tcBorders>
              <w:top w:val="nil"/>
              <w:left w:val="nil"/>
              <w:bottom w:val="nil"/>
              <w:right w:val="nil"/>
            </w:tcBorders>
            <w:shd w:val="clear" w:color="auto" w:fill="CCEEFF"/>
            <w:tcMar>
              <w:top w:w="0" w:type="dxa"/>
              <w:left w:w="53" w:type="dxa"/>
              <w:bottom w:w="0" w:type="dxa"/>
              <w:right w:w="53" w:type="dxa"/>
            </w:tcMar>
          </w:tcPr>
          <w:p w14:paraId="36FCECFC" w14:textId="77777777" w:rsidR="006E60EE" w:rsidRDefault="004E2592">
            <w:pPr>
              <w:spacing w:before="65" w:after="20"/>
              <w:ind w:left="720"/>
            </w:pPr>
            <w:r>
              <w:rPr>
                <w:rFonts w:ascii="Arial" w:eastAsia="Arial" w:hAnsi="Arial" w:cs="Arial"/>
                <w:color w:val="000000"/>
                <w:sz w:val="20"/>
              </w:rPr>
              <w:t>Accounts receivable, net</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01C568A" w14:textId="77777777" w:rsidR="006E60EE" w:rsidRDefault="004E2592">
            <w:pPr>
              <w:tabs>
                <w:tab w:val="left" w:pos="974"/>
                <w:tab w:val="left" w:pos="1372"/>
              </w:tabs>
              <w:spacing w:before="65" w:after="20"/>
              <w:jc w:val="right"/>
            </w:pPr>
            <w:r>
              <w:rPr>
                <w:rFonts w:ascii="Arial" w:eastAsia="Arial" w:hAnsi="Arial" w:cs="Arial"/>
                <w:color w:val="000000"/>
                <w:sz w:val="20"/>
              </w:rPr>
              <w:tab/>
              <w:t>707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A30C18C"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B7E1AC2" w14:textId="77777777" w:rsidR="006E60EE" w:rsidRDefault="004E2592">
            <w:pPr>
              <w:tabs>
                <w:tab w:val="left" w:pos="887"/>
              </w:tabs>
              <w:spacing w:before="65" w:after="20"/>
              <w:jc w:val="right"/>
            </w:pPr>
            <w:r>
              <w:rPr>
                <w:rFonts w:ascii="Arial" w:eastAsia="Arial" w:hAnsi="Arial" w:cs="Arial"/>
                <w:color w:val="000000"/>
                <w:sz w:val="20"/>
              </w:rPr>
              <w:tab/>
              <w:t>(132)</w:t>
            </w:r>
          </w:p>
        </w:tc>
      </w:tr>
      <w:tr w:rsidR="006E60EE" w14:paraId="4CF00A6C" w14:textId="77777777">
        <w:trPr>
          <w:cantSplit/>
        </w:trPr>
        <w:tc>
          <w:tcPr>
            <w:tcW w:w="6960" w:type="dxa"/>
            <w:tcBorders>
              <w:top w:val="nil"/>
              <w:left w:val="nil"/>
              <w:bottom w:val="nil"/>
              <w:right w:val="nil"/>
            </w:tcBorders>
            <w:shd w:val="clear" w:color="auto" w:fill="FFFFFF"/>
            <w:tcMar>
              <w:top w:w="0" w:type="dxa"/>
              <w:left w:w="53" w:type="dxa"/>
              <w:bottom w:w="0" w:type="dxa"/>
              <w:right w:w="53" w:type="dxa"/>
            </w:tcMar>
          </w:tcPr>
          <w:p w14:paraId="6973055E" w14:textId="77777777" w:rsidR="006E60EE" w:rsidRDefault="004E2592">
            <w:pPr>
              <w:spacing w:before="65" w:after="20"/>
              <w:ind w:left="720"/>
            </w:pPr>
            <w:r>
              <w:rPr>
                <w:rFonts w:ascii="Arial" w:eastAsia="Arial" w:hAnsi="Arial" w:cs="Arial"/>
                <w:color w:val="000000"/>
                <w:sz w:val="20"/>
              </w:rPr>
              <w:t>Deferred rents receivable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CA1E540" w14:textId="77777777" w:rsidR="006E60EE" w:rsidRDefault="004E2592">
            <w:pPr>
              <w:tabs>
                <w:tab w:val="left" w:pos="1085"/>
                <w:tab w:val="left" w:pos="1372"/>
              </w:tabs>
              <w:spacing w:before="65" w:after="20"/>
              <w:jc w:val="right"/>
            </w:pPr>
            <w:r>
              <w:rPr>
                <w:rFonts w:ascii="Arial" w:eastAsia="Arial" w:hAnsi="Arial" w:cs="Arial"/>
                <w:color w:val="000000"/>
                <w:sz w:val="20"/>
              </w:rPr>
              <w:tab/>
              <w:t>18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9E4BCF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7330FC1" w14:textId="77777777" w:rsidR="006E60EE" w:rsidRDefault="004E2592">
            <w:pPr>
              <w:tabs>
                <w:tab w:val="left" w:pos="1085"/>
                <w:tab w:val="left" w:pos="1372"/>
              </w:tabs>
              <w:spacing w:before="65" w:after="20"/>
              <w:jc w:val="right"/>
            </w:pPr>
            <w:r>
              <w:rPr>
                <w:rFonts w:ascii="Arial" w:eastAsia="Arial" w:hAnsi="Arial" w:cs="Arial"/>
                <w:color w:val="000000"/>
                <w:sz w:val="20"/>
              </w:rPr>
              <w:tab/>
              <w:t>18</w:t>
            </w:r>
            <w:r>
              <w:rPr>
                <w:rFonts w:ascii="Arial" w:eastAsia="Arial" w:hAnsi="Arial" w:cs="Arial"/>
                <w:color w:val="000000"/>
                <w:sz w:val="20"/>
              </w:rPr>
              <w:tab/>
            </w:r>
          </w:p>
        </w:tc>
      </w:tr>
      <w:tr w:rsidR="006E60EE" w14:paraId="0B5B9200" w14:textId="77777777">
        <w:trPr>
          <w:cantSplit/>
        </w:trPr>
        <w:tc>
          <w:tcPr>
            <w:tcW w:w="6960" w:type="dxa"/>
            <w:tcBorders>
              <w:top w:val="nil"/>
              <w:left w:val="nil"/>
              <w:bottom w:val="nil"/>
              <w:right w:val="nil"/>
            </w:tcBorders>
            <w:shd w:val="clear" w:color="auto" w:fill="CCEEFF"/>
            <w:tcMar>
              <w:top w:w="0" w:type="dxa"/>
              <w:left w:w="53" w:type="dxa"/>
              <w:bottom w:w="0" w:type="dxa"/>
              <w:right w:w="53" w:type="dxa"/>
            </w:tcMar>
          </w:tcPr>
          <w:p w14:paraId="2FCCAAA0" w14:textId="77777777" w:rsidR="006E60EE" w:rsidRDefault="004E2592">
            <w:pPr>
              <w:spacing w:before="65" w:after="20"/>
              <w:ind w:left="720"/>
            </w:pPr>
            <w:r>
              <w:rPr>
                <w:rFonts w:ascii="Arial" w:eastAsia="Arial" w:hAnsi="Arial" w:cs="Arial"/>
                <w:color w:val="000000"/>
                <w:sz w:val="20"/>
              </w:rPr>
              <w:t>Inventory</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9BA8A59" w14:textId="77777777" w:rsidR="006E60EE" w:rsidRDefault="004E2592">
            <w:pPr>
              <w:tabs>
                <w:tab w:val="left" w:pos="720"/>
              </w:tabs>
              <w:spacing w:before="65" w:after="20"/>
              <w:jc w:val="right"/>
            </w:pPr>
            <w:r>
              <w:rPr>
                <w:rFonts w:ascii="Arial" w:eastAsia="Arial" w:hAnsi="Arial" w:cs="Arial"/>
                <w:color w:val="000000"/>
                <w:sz w:val="20"/>
              </w:rPr>
              <w:tab/>
              <w:t>(3,738)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45A6A72"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7BB289C0" w14:textId="77777777" w:rsidR="006E60EE" w:rsidRDefault="004E2592">
            <w:pPr>
              <w:tabs>
                <w:tab w:val="left" w:pos="720"/>
              </w:tabs>
              <w:spacing w:before="65" w:after="20"/>
              <w:jc w:val="right"/>
            </w:pPr>
            <w:r>
              <w:rPr>
                <w:rFonts w:ascii="Arial" w:eastAsia="Arial" w:hAnsi="Arial" w:cs="Arial"/>
                <w:color w:val="000000"/>
                <w:sz w:val="20"/>
              </w:rPr>
              <w:tab/>
              <w:t>(3,246)</w:t>
            </w:r>
          </w:p>
        </w:tc>
      </w:tr>
      <w:tr w:rsidR="006E60EE" w14:paraId="1D2C3179" w14:textId="77777777">
        <w:trPr>
          <w:cantSplit/>
        </w:trPr>
        <w:tc>
          <w:tcPr>
            <w:tcW w:w="6960" w:type="dxa"/>
            <w:tcBorders>
              <w:top w:val="nil"/>
              <w:left w:val="nil"/>
              <w:bottom w:val="nil"/>
              <w:right w:val="nil"/>
            </w:tcBorders>
            <w:shd w:val="clear" w:color="auto" w:fill="FFFFFF"/>
            <w:tcMar>
              <w:top w:w="0" w:type="dxa"/>
              <w:left w:w="53" w:type="dxa"/>
              <w:bottom w:w="0" w:type="dxa"/>
              <w:right w:w="53" w:type="dxa"/>
            </w:tcMar>
          </w:tcPr>
          <w:p w14:paraId="52FCB83B" w14:textId="77777777" w:rsidR="006E60EE" w:rsidRDefault="004E2592">
            <w:pPr>
              <w:spacing w:before="65" w:after="20"/>
              <w:ind w:left="720"/>
            </w:pPr>
            <w:r>
              <w:rPr>
                <w:rFonts w:ascii="Arial" w:eastAsia="Arial" w:hAnsi="Arial" w:cs="Arial"/>
                <w:color w:val="000000"/>
                <w:sz w:val="20"/>
              </w:rPr>
              <w:t>Other current assets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4348C0C" w14:textId="77777777" w:rsidR="006E60EE" w:rsidRDefault="004E2592">
            <w:pPr>
              <w:tabs>
                <w:tab w:val="left" w:pos="974"/>
                <w:tab w:val="left" w:pos="1372"/>
              </w:tabs>
              <w:spacing w:before="65" w:after="20"/>
              <w:jc w:val="right"/>
            </w:pPr>
            <w:r>
              <w:rPr>
                <w:rFonts w:ascii="Arial" w:eastAsia="Arial" w:hAnsi="Arial" w:cs="Arial"/>
                <w:color w:val="000000"/>
                <w:sz w:val="20"/>
              </w:rPr>
              <w:tab/>
              <w:t>391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EED6F51"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5D450CA" w14:textId="77777777" w:rsidR="006E60EE" w:rsidRDefault="004E2592">
            <w:pPr>
              <w:tabs>
                <w:tab w:val="left" w:pos="974"/>
                <w:tab w:val="left" w:pos="1372"/>
              </w:tabs>
              <w:spacing w:before="65" w:after="20"/>
              <w:jc w:val="right"/>
            </w:pPr>
            <w:r>
              <w:rPr>
                <w:rFonts w:ascii="Arial" w:eastAsia="Arial" w:hAnsi="Arial" w:cs="Arial"/>
                <w:color w:val="000000"/>
                <w:sz w:val="20"/>
              </w:rPr>
              <w:tab/>
              <w:t>639</w:t>
            </w:r>
            <w:r>
              <w:rPr>
                <w:rFonts w:ascii="Arial" w:eastAsia="Arial" w:hAnsi="Arial" w:cs="Arial"/>
                <w:color w:val="000000"/>
                <w:sz w:val="20"/>
              </w:rPr>
              <w:tab/>
            </w:r>
          </w:p>
        </w:tc>
      </w:tr>
      <w:tr w:rsidR="006E60EE" w14:paraId="5FAB5FF7"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4372AB80" w14:textId="77777777" w:rsidR="006E60EE" w:rsidRDefault="004E2592">
            <w:pPr>
              <w:spacing w:before="75" w:after="30"/>
              <w:ind w:left="720"/>
            </w:pPr>
            <w:r>
              <w:rPr>
                <w:rFonts w:ascii="Arial" w:eastAsia="Arial" w:hAnsi="Arial" w:cs="Arial"/>
                <w:color w:val="000000"/>
                <w:sz w:val="20"/>
              </w:rPr>
              <w:t>Other assets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12A1E5A" w14:textId="77777777" w:rsidR="006E60EE" w:rsidRDefault="004E2592">
            <w:pPr>
              <w:tabs>
                <w:tab w:val="left" w:pos="1085"/>
                <w:tab w:val="left" w:pos="1372"/>
              </w:tabs>
              <w:spacing w:before="75" w:after="30"/>
              <w:jc w:val="right"/>
            </w:pPr>
            <w:r>
              <w:rPr>
                <w:rFonts w:ascii="Arial" w:eastAsia="Arial" w:hAnsi="Arial" w:cs="Arial"/>
                <w:color w:val="000000"/>
                <w:sz w:val="20"/>
              </w:rPr>
              <w:tab/>
              <w:t>63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DB15C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AE0084D" w14:textId="77777777" w:rsidR="006E60EE" w:rsidRDefault="004E2592">
            <w:pPr>
              <w:tabs>
                <w:tab w:val="left" w:pos="1085"/>
                <w:tab w:val="left" w:pos="1372"/>
              </w:tabs>
              <w:spacing w:before="75" w:after="30"/>
              <w:jc w:val="right"/>
            </w:pPr>
            <w:r>
              <w:rPr>
                <w:rFonts w:ascii="Arial" w:eastAsia="Arial" w:hAnsi="Arial" w:cs="Arial"/>
                <w:color w:val="000000"/>
                <w:sz w:val="20"/>
              </w:rPr>
              <w:tab/>
              <w:t>19</w:t>
            </w:r>
            <w:r>
              <w:rPr>
                <w:rFonts w:ascii="Arial" w:eastAsia="Arial" w:hAnsi="Arial" w:cs="Arial"/>
                <w:color w:val="000000"/>
                <w:sz w:val="20"/>
              </w:rPr>
              <w:tab/>
            </w:r>
          </w:p>
        </w:tc>
      </w:tr>
      <w:tr w:rsidR="006E60EE" w14:paraId="25723267"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4C8D7972" w14:textId="77777777" w:rsidR="006E60EE" w:rsidRDefault="004E2592">
            <w:pPr>
              <w:spacing w:before="75" w:after="30"/>
              <w:ind w:left="720"/>
            </w:pPr>
            <w:r>
              <w:rPr>
                <w:rFonts w:ascii="Arial" w:eastAsia="Arial" w:hAnsi="Arial" w:cs="Arial"/>
                <w:color w:val="000000"/>
                <w:sz w:val="20"/>
              </w:rPr>
              <w:t>Accounts payable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A78E7C6" w14:textId="77777777" w:rsidR="006E60EE" w:rsidRDefault="004E2592">
            <w:pPr>
              <w:tabs>
                <w:tab w:val="left" w:pos="807"/>
                <w:tab w:val="left" w:pos="1372"/>
              </w:tabs>
              <w:spacing w:before="75" w:after="30"/>
              <w:jc w:val="right"/>
            </w:pPr>
            <w:r>
              <w:rPr>
                <w:rFonts w:ascii="Arial" w:eastAsia="Arial" w:hAnsi="Arial" w:cs="Arial"/>
                <w:color w:val="000000"/>
                <w:sz w:val="20"/>
              </w:rPr>
              <w:tab/>
              <w:t>1,334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B607D35"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FB031C4" w14:textId="77777777" w:rsidR="006E60EE" w:rsidRDefault="004E2592">
            <w:pPr>
              <w:tabs>
                <w:tab w:val="left" w:pos="720"/>
              </w:tabs>
              <w:spacing w:before="75" w:after="30"/>
              <w:jc w:val="right"/>
            </w:pPr>
            <w:r>
              <w:rPr>
                <w:rFonts w:ascii="Arial" w:eastAsia="Arial" w:hAnsi="Arial" w:cs="Arial"/>
                <w:color w:val="000000"/>
                <w:sz w:val="20"/>
              </w:rPr>
              <w:tab/>
              <w:t>(1,961)</w:t>
            </w:r>
          </w:p>
        </w:tc>
      </w:tr>
      <w:tr w:rsidR="006E60EE" w14:paraId="1DF1312C"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2904592F" w14:textId="77777777" w:rsidR="006E60EE" w:rsidRDefault="004E2592">
            <w:pPr>
              <w:spacing w:before="75" w:after="30"/>
              <w:ind w:left="720"/>
            </w:pPr>
            <w:r>
              <w:rPr>
                <w:rFonts w:ascii="Arial" w:eastAsia="Arial" w:hAnsi="Arial" w:cs="Arial"/>
                <w:color w:val="000000"/>
                <w:sz w:val="20"/>
              </w:rPr>
              <w:t>Accrued expenses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6DE29A8" w14:textId="77777777" w:rsidR="006E60EE" w:rsidRDefault="004E2592">
            <w:pPr>
              <w:tabs>
                <w:tab w:val="left" w:pos="807"/>
                <w:tab w:val="left" w:pos="1372"/>
              </w:tabs>
              <w:spacing w:before="75" w:after="30"/>
              <w:jc w:val="right"/>
            </w:pPr>
            <w:r>
              <w:rPr>
                <w:rFonts w:ascii="Arial" w:eastAsia="Arial" w:hAnsi="Arial" w:cs="Arial"/>
                <w:color w:val="000000"/>
                <w:sz w:val="20"/>
              </w:rPr>
              <w:tab/>
              <w:t>1,091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3F0D3BF"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8F80554" w14:textId="77777777" w:rsidR="006E60EE" w:rsidRDefault="004E2592">
            <w:pPr>
              <w:tabs>
                <w:tab w:val="left" w:pos="887"/>
              </w:tabs>
              <w:spacing w:before="75" w:after="30"/>
              <w:jc w:val="right"/>
            </w:pPr>
            <w:r>
              <w:rPr>
                <w:rFonts w:ascii="Arial" w:eastAsia="Arial" w:hAnsi="Arial" w:cs="Arial"/>
                <w:color w:val="000000"/>
                <w:sz w:val="20"/>
              </w:rPr>
              <w:tab/>
              <w:t>(207)</w:t>
            </w:r>
          </w:p>
        </w:tc>
      </w:tr>
      <w:tr w:rsidR="006E60EE" w14:paraId="3245D676"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48F82DAA" w14:textId="77777777" w:rsidR="006E60EE" w:rsidRDefault="004E2592">
            <w:pPr>
              <w:spacing w:before="75" w:after="30"/>
              <w:ind w:left="720"/>
            </w:pPr>
            <w:r>
              <w:rPr>
                <w:rFonts w:ascii="Arial" w:eastAsia="Arial" w:hAnsi="Arial" w:cs="Arial"/>
                <w:color w:val="000000"/>
                <w:sz w:val="20"/>
              </w:rPr>
              <w:t>Income taxes payable</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FCB3F0" w14:textId="77777777" w:rsidR="006E60EE" w:rsidRDefault="004E2592">
            <w:pPr>
              <w:tabs>
                <w:tab w:val="left" w:pos="807"/>
                <w:tab w:val="left" w:pos="1372"/>
              </w:tabs>
              <w:spacing w:before="75" w:after="30"/>
              <w:jc w:val="right"/>
            </w:pPr>
            <w:r>
              <w:rPr>
                <w:rFonts w:ascii="Arial" w:eastAsia="Arial" w:hAnsi="Arial" w:cs="Arial"/>
                <w:color w:val="000000"/>
                <w:sz w:val="20"/>
              </w:rPr>
              <w:tab/>
              <w:t>1,838</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08FEE95" w14:textId="77777777" w:rsidR="006E60EE" w:rsidRDefault="006E60EE"/>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CC08F49" w14:textId="77777777" w:rsidR="006E60EE" w:rsidRDefault="004E2592">
            <w:pPr>
              <w:tabs>
                <w:tab w:val="left" w:pos="720"/>
              </w:tabs>
              <w:spacing w:before="75" w:after="30"/>
              <w:jc w:val="right"/>
            </w:pPr>
            <w:r>
              <w:rPr>
                <w:rFonts w:ascii="Arial" w:eastAsia="Arial" w:hAnsi="Arial" w:cs="Arial"/>
                <w:color w:val="000000"/>
                <w:sz w:val="20"/>
              </w:rPr>
              <w:tab/>
              <w:t>(2,806)</w:t>
            </w:r>
          </w:p>
        </w:tc>
      </w:tr>
      <w:tr w:rsidR="006E60EE" w14:paraId="7A970F92"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3C4138EC" w14:textId="77777777" w:rsidR="006E60EE" w:rsidRDefault="004E2592">
            <w:pPr>
              <w:spacing w:before="55" w:after="30"/>
              <w:ind w:left="960"/>
            </w:pPr>
            <w:r>
              <w:rPr>
                <w:rFonts w:ascii="Arial" w:eastAsia="Arial" w:hAnsi="Arial" w:cs="Arial"/>
                <w:color w:val="000000"/>
                <w:sz w:val="20"/>
              </w:rPr>
              <w:t>Net cash provided by (used in) operating activities</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D317739" w14:textId="77777777" w:rsidR="006E60EE" w:rsidRDefault="004E2592">
            <w:pPr>
              <w:tabs>
                <w:tab w:val="left" w:pos="807"/>
                <w:tab w:val="left" w:pos="1372"/>
              </w:tabs>
              <w:spacing w:before="55" w:after="30"/>
              <w:jc w:val="right"/>
            </w:pPr>
            <w:r>
              <w:rPr>
                <w:rFonts w:ascii="Arial" w:eastAsia="Arial" w:hAnsi="Arial" w:cs="Arial"/>
                <w:color w:val="000000"/>
                <w:sz w:val="20"/>
              </w:rPr>
              <w:tab/>
              <w:t>3,210</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DB7961B" w14:textId="77777777" w:rsidR="006E60EE" w:rsidRDefault="006E60EE"/>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7065FD3" w14:textId="77777777" w:rsidR="006E60EE" w:rsidRDefault="004E2592">
            <w:pPr>
              <w:tabs>
                <w:tab w:val="left" w:pos="720"/>
              </w:tabs>
              <w:spacing w:before="55" w:after="30"/>
              <w:jc w:val="right"/>
            </w:pPr>
            <w:r>
              <w:rPr>
                <w:rFonts w:ascii="Arial" w:eastAsia="Arial" w:hAnsi="Arial" w:cs="Arial"/>
                <w:color w:val="000000"/>
                <w:sz w:val="20"/>
              </w:rPr>
              <w:tab/>
              <w:t>(4,499)</w:t>
            </w:r>
          </w:p>
        </w:tc>
      </w:tr>
      <w:tr w:rsidR="006E60EE" w14:paraId="7B1DFBFB" w14:textId="77777777">
        <w:trPr>
          <w:cantSplit/>
          <w:trHeight w:hRule="exact" w:val="285"/>
        </w:trPr>
        <w:tc>
          <w:tcPr>
            <w:tcW w:w="6960" w:type="dxa"/>
            <w:tcBorders>
              <w:top w:val="nil"/>
              <w:left w:val="nil"/>
              <w:bottom w:val="nil"/>
              <w:right w:val="nil"/>
            </w:tcBorders>
            <w:shd w:val="clear" w:color="auto" w:fill="FFFFFF"/>
            <w:tcMar>
              <w:top w:w="0" w:type="dxa"/>
              <w:left w:w="0" w:type="dxa"/>
              <w:bottom w:w="0" w:type="dxa"/>
              <w:right w:w="0" w:type="dxa"/>
            </w:tcMar>
            <w:vAlign w:val="bottom"/>
          </w:tcPr>
          <w:p w14:paraId="103D3FCA"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8C4E3A7"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45E4B25"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0759D3D" w14:textId="77777777" w:rsidR="006E60EE" w:rsidRDefault="004E2592">
            <w:pPr>
              <w:spacing w:before="55" w:after="30"/>
              <w:jc w:val="right"/>
            </w:pPr>
            <w:r>
              <w:rPr>
                <w:rFonts w:ascii="Arial" w:eastAsia="Arial" w:hAnsi="Arial" w:cs="Arial"/>
                <w:color w:val="000000"/>
                <w:sz w:val="20"/>
              </w:rPr>
              <w:t xml:space="preserve"> </w:t>
            </w:r>
          </w:p>
        </w:tc>
      </w:tr>
      <w:tr w:rsidR="006E60EE" w14:paraId="17E054F7"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4858CFAF" w14:textId="77777777" w:rsidR="006E60EE" w:rsidRDefault="004E2592">
            <w:pPr>
              <w:spacing w:before="75" w:after="30"/>
            </w:pPr>
            <w:r>
              <w:rPr>
                <w:rFonts w:ascii="Arial" w:eastAsia="Arial" w:hAnsi="Arial" w:cs="Arial"/>
                <w:color w:val="000000"/>
                <w:sz w:val="20"/>
              </w:rPr>
              <w:t>Cash flows from investing activities:</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12243E06" w14:textId="77777777" w:rsidR="006E60EE" w:rsidRDefault="006E60EE"/>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36C30AB"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3893C459" w14:textId="77777777" w:rsidR="006E60EE" w:rsidRDefault="006E60EE"/>
        </w:tc>
      </w:tr>
      <w:tr w:rsidR="006E60EE" w14:paraId="1A79F3BC"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142837EA" w14:textId="77777777" w:rsidR="006E60EE" w:rsidRDefault="004E2592">
            <w:pPr>
              <w:spacing w:before="75" w:after="30"/>
              <w:ind w:left="240"/>
            </w:pPr>
            <w:r>
              <w:rPr>
                <w:rFonts w:ascii="Arial" w:eastAsia="Arial" w:hAnsi="Arial" w:cs="Arial"/>
                <w:color w:val="000000"/>
                <w:sz w:val="20"/>
              </w:rPr>
              <w:t>Purchases of property and equipment</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5F5B79D" w14:textId="77777777" w:rsidR="006E60EE" w:rsidRDefault="004E2592">
            <w:pPr>
              <w:tabs>
                <w:tab w:val="left" w:pos="720"/>
              </w:tabs>
              <w:spacing w:before="75" w:after="30"/>
              <w:jc w:val="right"/>
            </w:pPr>
            <w:r>
              <w:rPr>
                <w:rFonts w:ascii="Arial" w:eastAsia="Arial" w:hAnsi="Arial" w:cs="Arial"/>
                <w:color w:val="000000"/>
                <w:sz w:val="20"/>
              </w:rPr>
              <w:tab/>
              <w:t>(3,368)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E91F74D"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0C902B6" w14:textId="77777777" w:rsidR="006E60EE" w:rsidRDefault="004E2592">
            <w:pPr>
              <w:tabs>
                <w:tab w:val="left" w:pos="720"/>
              </w:tabs>
              <w:spacing w:before="75" w:after="30"/>
              <w:jc w:val="right"/>
            </w:pPr>
            <w:r>
              <w:rPr>
                <w:rFonts w:ascii="Arial" w:eastAsia="Arial" w:hAnsi="Arial" w:cs="Arial"/>
                <w:color w:val="000000"/>
                <w:sz w:val="20"/>
              </w:rPr>
              <w:tab/>
              <w:t>(3,052)</w:t>
            </w:r>
          </w:p>
        </w:tc>
      </w:tr>
      <w:tr w:rsidR="006E60EE" w14:paraId="7F2A90A2"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53883130" w14:textId="77777777" w:rsidR="006E60EE" w:rsidRDefault="004E2592">
            <w:pPr>
              <w:spacing w:before="75" w:after="30"/>
              <w:ind w:left="240"/>
            </w:pPr>
            <w:r>
              <w:rPr>
                <w:rFonts w:ascii="Arial" w:eastAsia="Arial" w:hAnsi="Arial" w:cs="Arial"/>
                <w:color w:val="000000"/>
                <w:sz w:val="20"/>
              </w:rPr>
              <w:t>Business acquisitions, net of cash acquired</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AD3D9A0"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C50AB24"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DC239A6" w14:textId="77777777" w:rsidR="006E60EE" w:rsidRDefault="004E2592">
            <w:pPr>
              <w:tabs>
                <w:tab w:val="left" w:pos="720"/>
              </w:tabs>
              <w:spacing w:before="75" w:after="30"/>
              <w:jc w:val="right"/>
            </w:pPr>
            <w:r>
              <w:rPr>
                <w:rFonts w:ascii="Arial" w:eastAsia="Arial" w:hAnsi="Arial" w:cs="Arial"/>
                <w:color w:val="000000"/>
                <w:sz w:val="20"/>
              </w:rPr>
              <w:tab/>
              <w:t>(2,995)</w:t>
            </w:r>
          </w:p>
        </w:tc>
      </w:tr>
      <w:tr w:rsidR="006E60EE" w14:paraId="1F4529A5"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1EFB964F" w14:textId="77777777" w:rsidR="006E60EE" w:rsidRDefault="004E2592">
            <w:pPr>
              <w:spacing w:before="75" w:after="30"/>
              <w:ind w:left="240"/>
            </w:pPr>
            <w:r>
              <w:rPr>
                <w:rFonts w:ascii="Arial" w:eastAsia="Arial" w:hAnsi="Arial" w:cs="Arial"/>
                <w:color w:val="000000"/>
                <w:sz w:val="20"/>
              </w:rPr>
              <w:t>Advances toward future business acquisitions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4C20721" w14:textId="77777777" w:rsidR="006E60EE" w:rsidRDefault="004E2592">
            <w:pPr>
              <w:tabs>
                <w:tab w:val="left" w:pos="887"/>
              </w:tabs>
              <w:spacing w:before="75" w:after="30"/>
              <w:jc w:val="right"/>
            </w:pPr>
            <w:r>
              <w:rPr>
                <w:rFonts w:ascii="Arial" w:eastAsia="Arial" w:hAnsi="Arial" w:cs="Arial"/>
                <w:color w:val="000000"/>
                <w:sz w:val="20"/>
              </w:rPr>
              <w:tab/>
              <w:t>(485)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29839D5"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74EF66BC" w14:textId="77777777" w:rsidR="006E60EE" w:rsidRDefault="004E2592">
            <w:pPr>
              <w:tabs>
                <w:tab w:val="left" w:pos="887"/>
              </w:tabs>
              <w:spacing w:before="75" w:after="30"/>
              <w:jc w:val="right"/>
            </w:pPr>
            <w:r>
              <w:rPr>
                <w:rFonts w:ascii="Arial" w:eastAsia="Arial" w:hAnsi="Arial" w:cs="Arial"/>
                <w:color w:val="000000"/>
                <w:sz w:val="20"/>
              </w:rPr>
              <w:tab/>
              <w:t>(300)</w:t>
            </w:r>
          </w:p>
        </w:tc>
      </w:tr>
      <w:tr w:rsidR="006E60EE" w14:paraId="55C9FE4B"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3B5B4F6C" w14:textId="77777777" w:rsidR="006E60EE" w:rsidRDefault="004E2592">
            <w:pPr>
              <w:spacing w:before="75" w:after="30"/>
              <w:ind w:left="240"/>
            </w:pPr>
            <w:r>
              <w:rPr>
                <w:rFonts w:ascii="Arial" w:eastAsia="Arial" w:hAnsi="Arial" w:cs="Arial"/>
                <w:color w:val="000000"/>
                <w:sz w:val="20"/>
              </w:rPr>
              <w:t>Purchases of investments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902A9B7" w14:textId="77777777" w:rsidR="006E60EE" w:rsidRDefault="004E2592">
            <w:pPr>
              <w:tabs>
                <w:tab w:val="left" w:pos="998"/>
              </w:tabs>
              <w:spacing w:before="75" w:after="30"/>
              <w:jc w:val="right"/>
            </w:pPr>
            <w:r>
              <w:rPr>
                <w:rFonts w:ascii="Arial" w:eastAsia="Arial" w:hAnsi="Arial" w:cs="Arial"/>
                <w:color w:val="000000"/>
                <w:sz w:val="20"/>
              </w:rPr>
              <w:tab/>
              <w:t>(86)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35B643"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59DE794"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6E60EE" w14:paraId="762627E7"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412D61CE" w14:textId="77777777" w:rsidR="006E60EE" w:rsidRDefault="004E2592">
            <w:pPr>
              <w:spacing w:before="75" w:after="30"/>
              <w:ind w:left="240"/>
            </w:pPr>
            <w:r>
              <w:rPr>
                <w:rFonts w:ascii="Arial" w:eastAsia="Arial" w:hAnsi="Arial" w:cs="Arial"/>
                <w:color w:val="000000"/>
                <w:sz w:val="20"/>
              </w:rPr>
              <w:t>Purchases of cannabis licenses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50DFE85" w14:textId="77777777" w:rsidR="006E60EE" w:rsidRDefault="004E2592">
            <w:pPr>
              <w:tabs>
                <w:tab w:val="left" w:pos="887"/>
              </w:tabs>
              <w:spacing w:before="75" w:after="30"/>
              <w:jc w:val="right"/>
            </w:pPr>
            <w:r>
              <w:rPr>
                <w:rFonts w:ascii="Arial" w:eastAsia="Arial" w:hAnsi="Arial" w:cs="Arial"/>
                <w:color w:val="000000"/>
                <w:sz w:val="20"/>
              </w:rPr>
              <w:tab/>
              <w:t>(265)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4E9F043"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DB2F9CE" w14:textId="77777777" w:rsidR="006E60EE" w:rsidRDefault="004E2592">
            <w:pPr>
              <w:tabs>
                <w:tab w:val="left" w:pos="887"/>
              </w:tabs>
              <w:spacing w:before="75" w:after="30"/>
              <w:jc w:val="right"/>
            </w:pPr>
            <w:r>
              <w:rPr>
                <w:rFonts w:ascii="Arial" w:eastAsia="Arial" w:hAnsi="Arial" w:cs="Arial"/>
                <w:color w:val="000000"/>
                <w:sz w:val="20"/>
              </w:rPr>
              <w:tab/>
              <w:t>(601)</w:t>
            </w:r>
          </w:p>
        </w:tc>
      </w:tr>
      <w:tr w:rsidR="006E60EE" w14:paraId="7D5F7A91" w14:textId="77777777">
        <w:trPr>
          <w:cantSplit/>
          <w:trHeight w:hRule="exact" w:val="300"/>
        </w:trPr>
        <w:tc>
          <w:tcPr>
            <w:tcW w:w="6960" w:type="dxa"/>
            <w:tcBorders>
              <w:top w:val="nil"/>
              <w:left w:val="nil"/>
              <w:bottom w:val="nil"/>
              <w:right w:val="nil"/>
            </w:tcBorders>
            <w:shd w:val="clear" w:color="auto" w:fill="CCEEFF"/>
            <w:tcMar>
              <w:top w:w="0" w:type="dxa"/>
              <w:left w:w="53" w:type="dxa"/>
              <w:bottom w:w="0" w:type="dxa"/>
              <w:right w:w="53" w:type="dxa"/>
            </w:tcMar>
          </w:tcPr>
          <w:p w14:paraId="30D5C17B" w14:textId="77777777" w:rsidR="006E60EE" w:rsidRDefault="004E2592">
            <w:pPr>
              <w:spacing w:before="75" w:after="30"/>
              <w:ind w:left="240"/>
            </w:pPr>
            <w:r>
              <w:rPr>
                <w:rFonts w:ascii="Arial" w:eastAsia="Arial" w:hAnsi="Arial" w:cs="Arial"/>
                <w:color w:val="000000"/>
                <w:sz w:val="20"/>
              </w:rPr>
              <w:t>Proceeds from notes receivable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36C4934" w14:textId="77777777" w:rsidR="006E60EE" w:rsidRDefault="004E2592">
            <w:pPr>
              <w:tabs>
                <w:tab w:val="left" w:pos="1085"/>
                <w:tab w:val="left" w:pos="1372"/>
              </w:tabs>
              <w:spacing w:before="75" w:after="30"/>
              <w:jc w:val="right"/>
            </w:pPr>
            <w:r>
              <w:rPr>
                <w:rFonts w:ascii="Arial" w:eastAsia="Arial" w:hAnsi="Arial" w:cs="Arial"/>
                <w:color w:val="000000"/>
                <w:sz w:val="20"/>
              </w:rPr>
              <w:tab/>
              <w:t>13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47" w:type="dxa"/>
              <w:bottom w:w="0" w:type="dxa"/>
              <w:right w:w="13" w:type="dxa"/>
            </w:tcMar>
            <w:vAlign w:val="bottom"/>
          </w:tcPr>
          <w:p w14:paraId="3C41083D" w14:textId="77777777" w:rsidR="006E60EE" w:rsidRDefault="006E60EE">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5E5D66A" w14:textId="77777777" w:rsidR="006E60EE" w:rsidRDefault="004E2592">
            <w:pPr>
              <w:tabs>
                <w:tab w:val="left" w:pos="1085"/>
                <w:tab w:val="left" w:pos="1372"/>
              </w:tabs>
              <w:spacing w:before="75" w:after="30"/>
              <w:jc w:val="right"/>
            </w:pPr>
            <w:r>
              <w:rPr>
                <w:rFonts w:ascii="Arial" w:eastAsia="Arial" w:hAnsi="Arial" w:cs="Arial"/>
                <w:color w:val="000000"/>
                <w:sz w:val="20"/>
              </w:rPr>
              <w:tab/>
              <w:t>43</w:t>
            </w:r>
            <w:r>
              <w:rPr>
                <w:rFonts w:ascii="Arial" w:eastAsia="Arial" w:hAnsi="Arial" w:cs="Arial"/>
                <w:color w:val="000000"/>
                <w:sz w:val="20"/>
              </w:rPr>
              <w:tab/>
            </w:r>
          </w:p>
        </w:tc>
      </w:tr>
      <w:tr w:rsidR="006E60EE" w14:paraId="2A96AE66"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52EE199D" w14:textId="77777777" w:rsidR="006E60EE" w:rsidRDefault="004E2592">
            <w:pPr>
              <w:spacing w:before="75" w:after="30"/>
              <w:ind w:left="240"/>
            </w:pPr>
            <w:r>
              <w:rPr>
                <w:rFonts w:ascii="Arial" w:eastAsia="Arial" w:hAnsi="Arial" w:cs="Arial"/>
                <w:color w:val="000000"/>
                <w:sz w:val="20"/>
              </w:rPr>
              <w:t>Due from related party</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3598F81" w14:textId="77777777" w:rsidR="006E60EE" w:rsidRDefault="004E2592">
            <w:pPr>
              <w:tabs>
                <w:tab w:val="left" w:pos="998"/>
              </w:tabs>
              <w:spacing w:before="75" w:after="30"/>
              <w:jc w:val="right"/>
            </w:pPr>
            <w:r>
              <w:rPr>
                <w:rFonts w:ascii="Arial" w:eastAsia="Arial" w:hAnsi="Arial" w:cs="Arial"/>
                <w:color w:val="000000"/>
                <w:sz w:val="20"/>
              </w:rPr>
              <w:tab/>
              <w:t>(75)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DE2F7D1"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749F05B" w14:textId="77777777" w:rsidR="006E60EE" w:rsidRDefault="004E2592">
            <w:pPr>
              <w:tabs>
                <w:tab w:val="left" w:pos="998"/>
              </w:tabs>
              <w:spacing w:before="75" w:after="30"/>
              <w:jc w:val="right"/>
            </w:pPr>
            <w:r>
              <w:rPr>
                <w:rFonts w:ascii="Arial" w:eastAsia="Arial" w:hAnsi="Arial" w:cs="Arial"/>
                <w:color w:val="000000"/>
                <w:sz w:val="20"/>
              </w:rPr>
              <w:tab/>
              <w:t>(20)</w:t>
            </w:r>
          </w:p>
        </w:tc>
      </w:tr>
      <w:tr w:rsidR="006E60EE" w14:paraId="726A91F3"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71AD42A3" w14:textId="77777777" w:rsidR="006E60EE" w:rsidRDefault="004E2592">
            <w:pPr>
              <w:spacing w:before="55" w:after="30"/>
              <w:ind w:left="960"/>
            </w:pPr>
            <w:r>
              <w:rPr>
                <w:rFonts w:ascii="Arial" w:eastAsia="Arial" w:hAnsi="Arial" w:cs="Arial"/>
                <w:color w:val="000000"/>
                <w:sz w:val="20"/>
              </w:rPr>
              <w:t>Net cash used in investing activities</w:t>
            </w:r>
          </w:p>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EE26146" w14:textId="77777777" w:rsidR="006E60EE" w:rsidRDefault="004E2592">
            <w:pPr>
              <w:tabs>
                <w:tab w:val="left" w:pos="720"/>
              </w:tabs>
              <w:spacing w:before="55" w:after="30"/>
              <w:jc w:val="right"/>
            </w:pPr>
            <w:r>
              <w:rPr>
                <w:rFonts w:ascii="Arial" w:eastAsia="Arial" w:hAnsi="Arial" w:cs="Arial"/>
                <w:color w:val="000000"/>
                <w:sz w:val="20"/>
              </w:rPr>
              <w:tab/>
              <w:t>(4,266)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DBA9038" w14:textId="77777777" w:rsidR="006E60EE" w:rsidRDefault="006E60EE"/>
        </w:tc>
        <w:tc>
          <w:tcPr>
            <w:tcW w:w="144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93BB3B9" w14:textId="77777777" w:rsidR="006E60EE" w:rsidRDefault="004E2592">
            <w:pPr>
              <w:tabs>
                <w:tab w:val="left" w:pos="720"/>
              </w:tabs>
              <w:spacing w:before="55" w:after="30"/>
              <w:jc w:val="right"/>
            </w:pPr>
            <w:r>
              <w:rPr>
                <w:rFonts w:ascii="Arial" w:eastAsia="Arial" w:hAnsi="Arial" w:cs="Arial"/>
                <w:color w:val="000000"/>
                <w:sz w:val="20"/>
              </w:rPr>
              <w:tab/>
              <w:t>(6,925)</w:t>
            </w:r>
          </w:p>
        </w:tc>
      </w:tr>
      <w:tr w:rsidR="006E60EE" w14:paraId="3D1032AA"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7D6E1DFF" w14:textId="77777777" w:rsidR="006E60EE" w:rsidRDefault="004E2592">
            <w:pPr>
              <w:spacing w:before="55" w:after="30"/>
            </w:pPr>
            <w:r>
              <w:rPr>
                <w:rFonts w:ascii="Arial" w:eastAsia="Arial" w:hAnsi="Arial" w:cs="Arial"/>
                <w:color w:val="000000"/>
                <w:sz w:val="20"/>
              </w:rPr>
              <w:t xml:space="preserve"> </w:t>
            </w: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481B042"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E5387C0" w14:textId="77777777" w:rsidR="006E60EE" w:rsidRDefault="006E60EE"/>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58BBE4B" w14:textId="77777777" w:rsidR="006E60EE" w:rsidRDefault="004E2592">
            <w:pPr>
              <w:spacing w:before="55" w:after="30"/>
              <w:jc w:val="right"/>
            </w:pPr>
            <w:r>
              <w:rPr>
                <w:rFonts w:ascii="Arial" w:eastAsia="Arial" w:hAnsi="Arial" w:cs="Arial"/>
                <w:color w:val="000000"/>
                <w:sz w:val="20"/>
              </w:rPr>
              <w:t xml:space="preserve"> </w:t>
            </w:r>
          </w:p>
        </w:tc>
      </w:tr>
      <w:tr w:rsidR="006E60EE" w14:paraId="08A24F6E"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3174816B" w14:textId="77777777" w:rsidR="006E60EE" w:rsidRDefault="004E2592">
            <w:pPr>
              <w:spacing w:before="75" w:after="30"/>
            </w:pPr>
            <w:r>
              <w:rPr>
                <w:rFonts w:ascii="Arial" w:eastAsia="Arial" w:hAnsi="Arial" w:cs="Arial"/>
                <w:color w:val="000000"/>
                <w:sz w:val="20"/>
              </w:rPr>
              <w:t>Cash flows from financing activities:</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5D95C1A8" w14:textId="77777777" w:rsidR="006E60EE" w:rsidRDefault="006E60EE"/>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533376D" w14:textId="77777777" w:rsidR="006E60EE" w:rsidRDefault="006E60EE"/>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28E231EE" w14:textId="77777777" w:rsidR="006E60EE" w:rsidRDefault="006E60EE"/>
        </w:tc>
      </w:tr>
      <w:tr w:rsidR="006E60EE" w14:paraId="4CAF3CA1"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55CDEBE0" w14:textId="77777777" w:rsidR="006E60EE" w:rsidRDefault="004E2592">
            <w:pPr>
              <w:spacing w:before="75" w:after="30"/>
              <w:ind w:left="240"/>
            </w:pPr>
            <w:r>
              <w:rPr>
                <w:rFonts w:ascii="Arial" w:eastAsia="Arial" w:hAnsi="Arial" w:cs="Arial"/>
                <w:color w:val="000000"/>
                <w:sz w:val="20"/>
              </w:rPr>
              <w:t>Proceeds from term loan</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7DEE410"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CE0250A"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DF9A156" w14:textId="77777777" w:rsidR="006E60EE" w:rsidRDefault="004E2592">
            <w:pPr>
              <w:tabs>
                <w:tab w:val="left" w:pos="696"/>
                <w:tab w:val="left" w:pos="1372"/>
              </w:tabs>
              <w:spacing w:before="75" w:after="30"/>
              <w:jc w:val="right"/>
            </w:pPr>
            <w:r>
              <w:rPr>
                <w:rFonts w:ascii="Arial" w:eastAsia="Arial" w:hAnsi="Arial" w:cs="Arial"/>
                <w:color w:val="000000"/>
                <w:sz w:val="20"/>
              </w:rPr>
              <w:tab/>
              <w:t>29,100</w:t>
            </w:r>
            <w:r>
              <w:rPr>
                <w:rFonts w:ascii="Arial" w:eastAsia="Arial" w:hAnsi="Arial" w:cs="Arial"/>
                <w:color w:val="000000"/>
                <w:sz w:val="20"/>
              </w:rPr>
              <w:tab/>
            </w:r>
          </w:p>
        </w:tc>
      </w:tr>
      <w:tr w:rsidR="006E60EE" w14:paraId="655D7327" w14:textId="77777777">
        <w:trPr>
          <w:cantSplit/>
          <w:trHeight w:hRule="exact" w:val="495"/>
        </w:trPr>
        <w:tc>
          <w:tcPr>
            <w:tcW w:w="6960" w:type="dxa"/>
            <w:tcBorders>
              <w:top w:val="nil"/>
              <w:left w:val="nil"/>
              <w:bottom w:val="nil"/>
              <w:right w:val="nil"/>
            </w:tcBorders>
            <w:shd w:val="clear" w:color="auto" w:fill="CCEEFF"/>
            <w:tcMar>
              <w:top w:w="0" w:type="dxa"/>
              <w:left w:w="53" w:type="dxa"/>
              <w:bottom w:w="0" w:type="dxa"/>
              <w:right w:w="53" w:type="dxa"/>
            </w:tcMar>
          </w:tcPr>
          <w:p w14:paraId="79B5C4E7" w14:textId="77777777" w:rsidR="006E60EE" w:rsidRDefault="004E2592">
            <w:pPr>
              <w:spacing w:before="75" w:after="30"/>
              <w:ind w:left="240"/>
            </w:pPr>
            <w:r>
              <w:rPr>
                <w:rFonts w:ascii="Arial" w:eastAsia="Arial" w:hAnsi="Arial" w:cs="Arial"/>
                <w:color w:val="000000"/>
                <w:sz w:val="20"/>
              </w:rPr>
              <w:lastRenderedPageBreak/>
              <w:t>Proceeds from Construction to Permanent Commercial Real Estate Mortgage Loan</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D4FB8A5" w14:textId="77777777" w:rsidR="006E60EE" w:rsidRDefault="004E2592">
            <w:pPr>
              <w:tabs>
                <w:tab w:val="left" w:pos="807"/>
                <w:tab w:val="left" w:pos="1372"/>
              </w:tabs>
              <w:spacing w:before="75" w:after="30"/>
              <w:jc w:val="right"/>
            </w:pPr>
            <w:r>
              <w:rPr>
                <w:rFonts w:ascii="Arial" w:eastAsia="Arial" w:hAnsi="Arial" w:cs="Arial"/>
                <w:color w:val="000000"/>
                <w:sz w:val="20"/>
              </w:rPr>
              <w:tab/>
              <w:t>1,047</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47" w:type="dxa"/>
              <w:bottom w:w="0" w:type="dxa"/>
              <w:right w:w="13" w:type="dxa"/>
            </w:tcMar>
            <w:vAlign w:val="bottom"/>
          </w:tcPr>
          <w:p w14:paraId="066B6CFC" w14:textId="77777777" w:rsidR="006E60EE" w:rsidRDefault="006E60EE">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240A742"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6E60EE" w14:paraId="23FD8B95" w14:textId="77777777">
        <w:trPr>
          <w:cantSplit/>
          <w:trHeight w:hRule="exact" w:val="300"/>
        </w:trPr>
        <w:tc>
          <w:tcPr>
            <w:tcW w:w="6960" w:type="dxa"/>
            <w:tcBorders>
              <w:top w:val="nil"/>
              <w:left w:val="nil"/>
              <w:bottom w:val="nil"/>
              <w:right w:val="nil"/>
            </w:tcBorders>
            <w:shd w:val="clear" w:color="auto" w:fill="FFFFFF"/>
            <w:tcMar>
              <w:top w:w="0" w:type="dxa"/>
              <w:left w:w="53" w:type="dxa"/>
              <w:bottom w:w="0" w:type="dxa"/>
              <w:right w:w="53" w:type="dxa"/>
            </w:tcMar>
          </w:tcPr>
          <w:p w14:paraId="4D1799C0" w14:textId="77777777" w:rsidR="006E60EE" w:rsidRDefault="004E2592">
            <w:pPr>
              <w:spacing w:before="75" w:after="30"/>
              <w:ind w:left="240"/>
            </w:pPr>
            <w:r>
              <w:rPr>
                <w:rFonts w:ascii="Arial" w:eastAsia="Arial" w:hAnsi="Arial" w:cs="Arial"/>
                <w:color w:val="000000"/>
                <w:sz w:val="20"/>
              </w:rPr>
              <w:t>Proceeds from mortgages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D723AE3" w14:textId="77777777" w:rsidR="006E60EE" w:rsidRDefault="004E2592">
            <w:pPr>
              <w:tabs>
                <w:tab w:val="left" w:pos="807"/>
                <w:tab w:val="left" w:pos="1372"/>
              </w:tabs>
              <w:spacing w:before="75" w:after="30"/>
              <w:jc w:val="right"/>
            </w:pPr>
            <w:r>
              <w:rPr>
                <w:rFonts w:ascii="Arial" w:eastAsia="Arial" w:hAnsi="Arial" w:cs="Arial"/>
                <w:color w:val="000000"/>
                <w:sz w:val="20"/>
              </w:rPr>
              <w:tab/>
              <w:t>1,163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47" w:type="dxa"/>
              <w:bottom w:w="0" w:type="dxa"/>
              <w:right w:w="13" w:type="dxa"/>
            </w:tcMar>
            <w:vAlign w:val="bottom"/>
          </w:tcPr>
          <w:p w14:paraId="4249CBAA" w14:textId="77777777" w:rsidR="006E60EE" w:rsidRDefault="006E60EE">
            <w:pPr>
              <w:spacing w:before="75" w:after="3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4171140"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r>
      <w:tr w:rsidR="006E60EE" w14:paraId="5F37A668" w14:textId="77777777">
        <w:trPr>
          <w:cantSplit/>
        </w:trPr>
        <w:tc>
          <w:tcPr>
            <w:tcW w:w="6960" w:type="dxa"/>
            <w:tcBorders>
              <w:top w:val="nil"/>
              <w:left w:val="nil"/>
              <w:bottom w:val="nil"/>
              <w:right w:val="nil"/>
            </w:tcBorders>
            <w:shd w:val="clear" w:color="auto" w:fill="CCEEFF"/>
            <w:tcMar>
              <w:top w:w="0" w:type="dxa"/>
              <w:left w:w="53" w:type="dxa"/>
              <w:bottom w:w="0" w:type="dxa"/>
              <w:right w:w="53" w:type="dxa"/>
            </w:tcMar>
          </w:tcPr>
          <w:p w14:paraId="50E0A9F8" w14:textId="77777777" w:rsidR="006E60EE" w:rsidRDefault="004E2592">
            <w:pPr>
              <w:spacing w:before="65" w:after="20"/>
              <w:ind w:left="240"/>
            </w:pPr>
            <w:r>
              <w:rPr>
                <w:rFonts w:ascii="Arial" w:eastAsia="Arial" w:hAnsi="Arial" w:cs="Arial"/>
                <w:color w:val="000000"/>
                <w:sz w:val="20"/>
              </w:rPr>
              <w:t>Principal payments of mortgages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5E57CF0" w14:textId="77777777" w:rsidR="006E60EE" w:rsidRDefault="004E2592">
            <w:pPr>
              <w:tabs>
                <w:tab w:val="left" w:pos="998"/>
              </w:tabs>
              <w:spacing w:before="65" w:after="20"/>
              <w:jc w:val="right"/>
            </w:pPr>
            <w:r>
              <w:rPr>
                <w:rFonts w:ascii="Arial" w:eastAsia="Arial" w:hAnsi="Arial" w:cs="Arial"/>
                <w:color w:val="000000"/>
                <w:sz w:val="20"/>
              </w:rPr>
              <w:tab/>
              <w:t>(65)</w:t>
            </w:r>
          </w:p>
        </w:tc>
        <w:tc>
          <w:tcPr>
            <w:tcW w:w="60" w:type="dxa"/>
            <w:tcBorders>
              <w:top w:val="nil"/>
              <w:left w:val="nil"/>
              <w:bottom w:val="nil"/>
              <w:right w:val="nil"/>
            </w:tcBorders>
            <w:shd w:val="clear" w:color="auto" w:fill="CCEEFF"/>
            <w:tcMar>
              <w:top w:w="0" w:type="dxa"/>
              <w:left w:w="47" w:type="dxa"/>
              <w:bottom w:w="0" w:type="dxa"/>
              <w:right w:w="13" w:type="dxa"/>
            </w:tcMar>
            <w:vAlign w:val="bottom"/>
          </w:tcPr>
          <w:p w14:paraId="5FF6E7F7" w14:textId="77777777" w:rsidR="006E60EE" w:rsidRDefault="006E60EE">
            <w:pPr>
              <w:spacing w:before="65" w:after="2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E2DD456" w14:textId="77777777" w:rsidR="006E60EE" w:rsidRDefault="004E2592">
            <w:pPr>
              <w:tabs>
                <w:tab w:val="left" w:pos="887"/>
              </w:tabs>
              <w:spacing w:before="65" w:after="20"/>
              <w:jc w:val="right"/>
            </w:pPr>
            <w:r>
              <w:rPr>
                <w:rFonts w:ascii="Arial" w:eastAsia="Arial" w:hAnsi="Arial" w:cs="Arial"/>
                <w:color w:val="000000"/>
                <w:sz w:val="20"/>
              </w:rPr>
              <w:tab/>
              <w:t>(203)</w:t>
            </w:r>
          </w:p>
        </w:tc>
      </w:tr>
      <w:tr w:rsidR="006E60EE" w14:paraId="471C80A5" w14:textId="77777777">
        <w:trPr>
          <w:cantSplit/>
        </w:trPr>
        <w:tc>
          <w:tcPr>
            <w:tcW w:w="6960" w:type="dxa"/>
            <w:tcBorders>
              <w:top w:val="nil"/>
              <w:left w:val="nil"/>
              <w:bottom w:val="nil"/>
              <w:right w:val="nil"/>
            </w:tcBorders>
            <w:shd w:val="clear" w:color="auto" w:fill="FFFFFF"/>
            <w:tcMar>
              <w:top w:w="0" w:type="dxa"/>
              <w:left w:w="53" w:type="dxa"/>
              <w:bottom w:w="0" w:type="dxa"/>
              <w:right w:w="53" w:type="dxa"/>
            </w:tcMar>
          </w:tcPr>
          <w:p w14:paraId="74F7C256" w14:textId="77777777" w:rsidR="006E60EE" w:rsidRDefault="004E2592">
            <w:pPr>
              <w:spacing w:before="65" w:after="20"/>
              <w:ind w:left="240"/>
            </w:pPr>
            <w:r>
              <w:rPr>
                <w:rFonts w:ascii="Arial" w:eastAsia="Arial" w:hAnsi="Arial" w:cs="Arial"/>
                <w:color w:val="000000"/>
                <w:sz w:val="20"/>
              </w:rPr>
              <w:t>Principal payments of promissory notes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5FE76649" w14:textId="77777777" w:rsidR="006E60EE" w:rsidRDefault="004E2592">
            <w:pPr>
              <w:tabs>
                <w:tab w:val="left" w:pos="887"/>
              </w:tabs>
              <w:spacing w:before="65" w:after="20"/>
              <w:jc w:val="right"/>
            </w:pPr>
            <w:r>
              <w:rPr>
                <w:rFonts w:ascii="Arial" w:eastAsia="Arial" w:hAnsi="Arial" w:cs="Arial"/>
                <w:color w:val="000000"/>
                <w:sz w:val="20"/>
              </w:rPr>
              <w:tab/>
              <w:t>(135)</w:t>
            </w:r>
          </w:p>
        </w:tc>
        <w:tc>
          <w:tcPr>
            <w:tcW w:w="60" w:type="dxa"/>
            <w:tcBorders>
              <w:top w:val="nil"/>
              <w:left w:val="nil"/>
              <w:bottom w:val="nil"/>
              <w:right w:val="nil"/>
            </w:tcBorders>
            <w:shd w:val="clear" w:color="auto" w:fill="FFFFFF"/>
            <w:tcMar>
              <w:top w:w="0" w:type="dxa"/>
              <w:left w:w="47" w:type="dxa"/>
              <w:bottom w:w="0" w:type="dxa"/>
              <w:right w:w="13" w:type="dxa"/>
            </w:tcMar>
            <w:vAlign w:val="bottom"/>
          </w:tcPr>
          <w:p w14:paraId="4B4BE0E6" w14:textId="77777777" w:rsidR="006E60EE" w:rsidRDefault="006E60EE">
            <w:pPr>
              <w:spacing w:before="65" w:after="20"/>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8FFC45A" w14:textId="77777777" w:rsidR="006E60EE" w:rsidRDefault="004E2592">
            <w:pPr>
              <w:tabs>
                <w:tab w:val="left" w:pos="1109"/>
              </w:tabs>
              <w:spacing w:before="65" w:after="20"/>
              <w:jc w:val="right"/>
            </w:pPr>
            <w:r>
              <w:rPr>
                <w:rFonts w:ascii="Arial" w:eastAsia="Arial" w:hAnsi="Arial" w:cs="Arial"/>
                <w:color w:val="000000"/>
                <w:sz w:val="20"/>
              </w:rPr>
              <w:tab/>
              <w:t>(9)</w:t>
            </w:r>
          </w:p>
        </w:tc>
      </w:tr>
      <w:tr w:rsidR="006E60EE" w14:paraId="45E85243"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2B800C84" w14:textId="77777777" w:rsidR="006E60EE" w:rsidRDefault="004E2592">
            <w:pPr>
              <w:spacing w:before="75" w:after="30"/>
              <w:ind w:left="240"/>
            </w:pPr>
            <w:r>
              <w:rPr>
                <w:rFonts w:ascii="Arial" w:eastAsia="Arial" w:hAnsi="Arial" w:cs="Arial"/>
                <w:color w:val="000000"/>
                <w:sz w:val="20"/>
              </w:rPr>
              <w:t>Repayment and retirement of promissory notes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A6CDDDF" w14:textId="77777777" w:rsidR="006E60EE" w:rsidRDefault="004E2592">
            <w:pPr>
              <w:tabs>
                <w:tab w:val="left" w:pos="1107"/>
                <w:tab w:val="left" w:pos="1372"/>
              </w:tabs>
              <w:spacing w:before="75" w:after="30"/>
              <w:jc w:val="right"/>
            </w:pPr>
            <w:r>
              <w:rPr>
                <w:rFonts w:ascii="Arial" w:eastAsia="Arial" w:hAnsi="Arial" w:cs="Arial"/>
                <w:color w:val="000000"/>
                <w:sz w:val="20"/>
              </w:rPr>
              <w:tab/>
              <w:t>—</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47" w:type="dxa"/>
              <w:bottom w:w="0" w:type="dxa"/>
              <w:right w:w="13" w:type="dxa"/>
            </w:tcMar>
            <w:vAlign w:val="bottom"/>
          </w:tcPr>
          <w:p w14:paraId="6D889D82" w14:textId="77777777" w:rsidR="006E60EE" w:rsidRDefault="006E60EE">
            <w:pPr>
              <w:spacing w:before="75" w:after="30"/>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D0F7AD7" w14:textId="77777777" w:rsidR="006E60EE" w:rsidRDefault="004E2592">
            <w:pPr>
              <w:tabs>
                <w:tab w:val="left" w:pos="720"/>
              </w:tabs>
              <w:spacing w:before="75" w:after="30"/>
              <w:jc w:val="right"/>
            </w:pPr>
            <w:r>
              <w:rPr>
                <w:rFonts w:ascii="Arial" w:eastAsia="Arial" w:hAnsi="Arial" w:cs="Arial"/>
                <w:color w:val="000000"/>
                <w:sz w:val="20"/>
              </w:rPr>
              <w:tab/>
              <w:t>(5,503)</w:t>
            </w:r>
          </w:p>
        </w:tc>
      </w:tr>
      <w:tr w:rsidR="006E60EE" w14:paraId="4F65CFF6"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7CA8AB1A" w14:textId="77777777" w:rsidR="006E60EE" w:rsidRDefault="004E2592">
            <w:pPr>
              <w:spacing w:before="75" w:after="30"/>
              <w:ind w:left="240"/>
            </w:pPr>
            <w:r>
              <w:rPr>
                <w:rFonts w:ascii="Arial" w:eastAsia="Arial" w:hAnsi="Arial" w:cs="Arial"/>
                <w:color w:val="000000"/>
                <w:sz w:val="20"/>
              </w:rPr>
              <w:t>Principal payments of finance leases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DB911AF" w14:textId="77777777" w:rsidR="006E60EE" w:rsidRDefault="004E2592">
            <w:pPr>
              <w:tabs>
                <w:tab w:val="left" w:pos="887"/>
              </w:tabs>
              <w:spacing w:before="75" w:after="30"/>
              <w:jc w:val="right"/>
            </w:pPr>
            <w:r>
              <w:rPr>
                <w:rFonts w:ascii="Arial" w:eastAsia="Arial" w:hAnsi="Arial" w:cs="Arial"/>
                <w:color w:val="000000"/>
                <w:sz w:val="20"/>
              </w:rPr>
              <w:tab/>
              <w:t>(320)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FE84F8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E409A22" w14:textId="77777777" w:rsidR="006E60EE" w:rsidRDefault="004E2592">
            <w:pPr>
              <w:tabs>
                <w:tab w:val="left" w:pos="998"/>
              </w:tabs>
              <w:spacing w:before="75" w:after="30"/>
              <w:jc w:val="right"/>
            </w:pPr>
            <w:r>
              <w:rPr>
                <w:rFonts w:ascii="Arial" w:eastAsia="Arial" w:hAnsi="Arial" w:cs="Arial"/>
                <w:color w:val="000000"/>
                <w:sz w:val="20"/>
              </w:rPr>
              <w:tab/>
              <w:t>(69)</w:t>
            </w:r>
          </w:p>
        </w:tc>
      </w:tr>
      <w:tr w:rsidR="006E60EE" w14:paraId="60B7A1A1"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0FE7E065" w14:textId="77777777" w:rsidR="006E60EE" w:rsidRDefault="004E2592">
            <w:pPr>
              <w:spacing w:before="75" w:after="30"/>
              <w:ind w:left="240"/>
            </w:pPr>
            <w:r>
              <w:rPr>
                <w:rFonts w:ascii="Arial" w:eastAsia="Arial" w:hAnsi="Arial" w:cs="Arial"/>
                <w:color w:val="000000"/>
                <w:sz w:val="20"/>
              </w:rPr>
              <w:t>Distributions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D9835DE" w14:textId="77777777" w:rsidR="006E60EE" w:rsidRDefault="004E2592">
            <w:pPr>
              <w:tabs>
                <w:tab w:val="left" w:pos="998"/>
              </w:tabs>
              <w:spacing w:before="75" w:after="30"/>
              <w:jc w:val="right"/>
            </w:pPr>
            <w:r>
              <w:rPr>
                <w:rFonts w:ascii="Arial" w:eastAsia="Arial" w:hAnsi="Arial" w:cs="Arial"/>
                <w:color w:val="000000"/>
                <w:sz w:val="20"/>
              </w:rPr>
              <w:tab/>
              <w:t>(45)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35761CF" w14:textId="77777777" w:rsidR="006E60EE" w:rsidRDefault="006E60EE"/>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A502C13" w14:textId="77777777" w:rsidR="006E60EE" w:rsidRDefault="004E2592">
            <w:pPr>
              <w:tabs>
                <w:tab w:val="left" w:pos="998"/>
              </w:tabs>
              <w:spacing w:before="75" w:after="30"/>
              <w:jc w:val="right"/>
            </w:pPr>
            <w:r>
              <w:rPr>
                <w:rFonts w:ascii="Arial" w:eastAsia="Arial" w:hAnsi="Arial" w:cs="Arial"/>
                <w:color w:val="000000"/>
                <w:sz w:val="20"/>
              </w:rPr>
              <w:tab/>
              <w:t>(34)</w:t>
            </w:r>
          </w:p>
        </w:tc>
      </w:tr>
      <w:tr w:rsidR="006E60EE" w14:paraId="2D855A0F"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7FC07753" w14:textId="77777777" w:rsidR="006E60EE" w:rsidRDefault="004E2592">
            <w:pPr>
              <w:spacing w:before="55" w:after="30"/>
              <w:ind w:left="480"/>
            </w:pPr>
            <w:r>
              <w:rPr>
                <w:rFonts w:ascii="Arial" w:eastAsia="Arial" w:hAnsi="Arial" w:cs="Arial"/>
                <w:color w:val="000000"/>
                <w:sz w:val="20"/>
              </w:rPr>
              <w:t>Net cash provided by financing activities</w:t>
            </w:r>
          </w:p>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5AEA331" w14:textId="77777777" w:rsidR="006E60EE" w:rsidRDefault="004E2592">
            <w:pPr>
              <w:tabs>
                <w:tab w:val="left" w:pos="807"/>
                <w:tab w:val="left" w:pos="1372"/>
              </w:tabs>
              <w:spacing w:before="55" w:after="30"/>
              <w:jc w:val="right"/>
            </w:pPr>
            <w:r>
              <w:rPr>
                <w:rFonts w:ascii="Arial" w:eastAsia="Arial" w:hAnsi="Arial" w:cs="Arial"/>
                <w:color w:val="000000"/>
                <w:sz w:val="20"/>
              </w:rPr>
              <w:tab/>
              <w:t>1,645</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7B741FA" w14:textId="77777777" w:rsidR="006E60EE" w:rsidRDefault="006E60EE"/>
        </w:tc>
        <w:tc>
          <w:tcPr>
            <w:tcW w:w="144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C6AEFFB" w14:textId="77777777" w:rsidR="006E60EE" w:rsidRDefault="004E2592">
            <w:pPr>
              <w:tabs>
                <w:tab w:val="left" w:pos="696"/>
                <w:tab w:val="left" w:pos="1372"/>
              </w:tabs>
              <w:spacing w:before="55" w:after="30"/>
              <w:jc w:val="right"/>
            </w:pPr>
            <w:r>
              <w:rPr>
                <w:rFonts w:ascii="Arial" w:eastAsia="Arial" w:hAnsi="Arial" w:cs="Arial"/>
                <w:color w:val="000000"/>
                <w:sz w:val="20"/>
              </w:rPr>
              <w:tab/>
              <w:t>23,282</w:t>
            </w:r>
            <w:r>
              <w:rPr>
                <w:rFonts w:ascii="Arial" w:eastAsia="Arial" w:hAnsi="Arial" w:cs="Arial"/>
                <w:color w:val="000000"/>
                <w:sz w:val="20"/>
              </w:rPr>
              <w:tab/>
            </w:r>
          </w:p>
        </w:tc>
      </w:tr>
      <w:tr w:rsidR="006E60EE" w14:paraId="464EC0E9" w14:textId="77777777">
        <w:trPr>
          <w:cantSplit/>
          <w:trHeight w:hRule="exact" w:val="285"/>
        </w:trPr>
        <w:tc>
          <w:tcPr>
            <w:tcW w:w="6960" w:type="dxa"/>
            <w:tcBorders>
              <w:top w:val="nil"/>
              <w:left w:val="nil"/>
              <w:bottom w:val="nil"/>
              <w:right w:val="nil"/>
            </w:tcBorders>
            <w:shd w:val="clear" w:color="auto" w:fill="CCEEFF"/>
            <w:tcMar>
              <w:top w:w="0" w:type="dxa"/>
              <w:left w:w="0" w:type="dxa"/>
              <w:bottom w:w="0" w:type="dxa"/>
              <w:right w:w="0" w:type="dxa"/>
            </w:tcMar>
            <w:vAlign w:val="bottom"/>
          </w:tcPr>
          <w:p w14:paraId="6FDCBE40"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27B7E10" w14:textId="77777777" w:rsidR="006E60EE" w:rsidRDefault="004E2592">
            <w:pPr>
              <w:spacing w:before="55" w:after="30"/>
              <w:jc w:val="right"/>
            </w:pPr>
            <w:r>
              <w:rPr>
                <w:rFonts w:ascii="Arial" w:eastAsia="Arial" w:hAnsi="Arial" w:cs="Arial"/>
                <w:color w:val="000000"/>
                <w:sz w:val="20"/>
              </w:rPr>
              <w:t xml:space="preserve">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9FD300" w14:textId="77777777" w:rsidR="006E60EE" w:rsidRDefault="006E60EE"/>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C6E80C4" w14:textId="77777777" w:rsidR="006E60EE" w:rsidRDefault="004E2592">
            <w:pPr>
              <w:spacing w:before="55" w:after="30"/>
              <w:jc w:val="right"/>
            </w:pPr>
            <w:r>
              <w:rPr>
                <w:rFonts w:ascii="Arial" w:eastAsia="Arial" w:hAnsi="Arial" w:cs="Arial"/>
                <w:color w:val="000000"/>
                <w:sz w:val="20"/>
              </w:rPr>
              <w:t xml:space="preserve"> </w:t>
            </w:r>
          </w:p>
        </w:tc>
      </w:tr>
      <w:tr w:rsidR="006E60EE" w14:paraId="068CC95E" w14:textId="77777777">
        <w:trPr>
          <w:cantSplit/>
          <w:trHeight w:hRule="exact" w:val="285"/>
        </w:trPr>
        <w:tc>
          <w:tcPr>
            <w:tcW w:w="6960" w:type="dxa"/>
            <w:tcBorders>
              <w:top w:val="nil"/>
              <w:left w:val="nil"/>
              <w:bottom w:val="nil"/>
              <w:right w:val="nil"/>
            </w:tcBorders>
            <w:shd w:val="clear" w:color="auto" w:fill="FFFFFF"/>
            <w:tcMar>
              <w:top w:w="0" w:type="dxa"/>
              <w:left w:w="53" w:type="dxa"/>
              <w:bottom w:w="0" w:type="dxa"/>
              <w:right w:w="53" w:type="dxa"/>
            </w:tcMar>
          </w:tcPr>
          <w:p w14:paraId="564B7F16" w14:textId="77777777" w:rsidR="006E60EE" w:rsidRDefault="004E2592">
            <w:pPr>
              <w:spacing w:before="75" w:after="30"/>
            </w:pPr>
            <w:r>
              <w:rPr>
                <w:rFonts w:ascii="Arial" w:eastAsia="Arial" w:hAnsi="Arial" w:cs="Arial"/>
                <w:color w:val="000000"/>
                <w:sz w:val="20"/>
              </w:rPr>
              <w:t>Net increase in cash and cash equivalents</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9576408" w14:textId="77777777" w:rsidR="006E60EE" w:rsidRDefault="004E2592">
            <w:pPr>
              <w:tabs>
                <w:tab w:val="left" w:pos="974"/>
                <w:tab w:val="left" w:pos="1372"/>
              </w:tabs>
              <w:spacing w:before="75" w:after="30"/>
              <w:jc w:val="right"/>
            </w:pPr>
            <w:r>
              <w:rPr>
                <w:rFonts w:ascii="Arial" w:eastAsia="Arial" w:hAnsi="Arial" w:cs="Arial"/>
                <w:color w:val="000000"/>
                <w:sz w:val="20"/>
              </w:rPr>
              <w:tab/>
              <w:t>589</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8A5561C" w14:textId="77777777" w:rsidR="006E60EE" w:rsidRDefault="006E60EE"/>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9E5236D" w14:textId="77777777" w:rsidR="006E60EE" w:rsidRDefault="004E2592">
            <w:pPr>
              <w:tabs>
                <w:tab w:val="left" w:pos="696"/>
                <w:tab w:val="left" w:pos="1372"/>
              </w:tabs>
              <w:spacing w:before="75" w:after="30"/>
              <w:jc w:val="right"/>
            </w:pPr>
            <w:r>
              <w:rPr>
                <w:rFonts w:ascii="Arial" w:eastAsia="Arial" w:hAnsi="Arial" w:cs="Arial"/>
                <w:color w:val="000000"/>
                <w:sz w:val="20"/>
              </w:rPr>
              <w:tab/>
              <w:t>11,858</w:t>
            </w:r>
            <w:r>
              <w:rPr>
                <w:rFonts w:ascii="Arial" w:eastAsia="Arial" w:hAnsi="Arial" w:cs="Arial"/>
                <w:color w:val="000000"/>
                <w:sz w:val="20"/>
              </w:rPr>
              <w:tab/>
            </w:r>
          </w:p>
        </w:tc>
      </w:tr>
      <w:tr w:rsidR="006E60EE" w14:paraId="3C2A22FE" w14:textId="77777777">
        <w:trPr>
          <w:cantSplit/>
          <w:trHeight w:hRule="exact" w:val="285"/>
        </w:trPr>
        <w:tc>
          <w:tcPr>
            <w:tcW w:w="6960" w:type="dxa"/>
            <w:tcBorders>
              <w:top w:val="nil"/>
              <w:left w:val="nil"/>
              <w:bottom w:val="nil"/>
              <w:right w:val="nil"/>
            </w:tcBorders>
            <w:shd w:val="clear" w:color="auto" w:fill="CCEEFF"/>
            <w:tcMar>
              <w:top w:w="0" w:type="dxa"/>
              <w:left w:w="53" w:type="dxa"/>
              <w:bottom w:w="0" w:type="dxa"/>
              <w:right w:w="53" w:type="dxa"/>
            </w:tcMar>
          </w:tcPr>
          <w:p w14:paraId="6215DA89" w14:textId="77777777" w:rsidR="006E60EE" w:rsidRDefault="004E2592">
            <w:pPr>
              <w:spacing w:before="75" w:after="30"/>
            </w:pPr>
            <w:r>
              <w:rPr>
                <w:rFonts w:ascii="Arial" w:eastAsia="Arial" w:hAnsi="Arial" w:cs="Arial"/>
                <w:color w:val="000000"/>
                <w:sz w:val="20"/>
              </w:rPr>
              <w:t>Cash and equivalents, beginning of year</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B6DAD3B" w14:textId="77777777" w:rsidR="006E60EE" w:rsidRDefault="004E2592">
            <w:pPr>
              <w:tabs>
                <w:tab w:val="left" w:pos="696"/>
                <w:tab w:val="left" w:pos="1372"/>
              </w:tabs>
              <w:spacing w:before="75" w:after="30"/>
              <w:jc w:val="right"/>
            </w:pPr>
            <w:r>
              <w:rPr>
                <w:rFonts w:ascii="Arial" w:eastAsia="Arial" w:hAnsi="Arial" w:cs="Arial"/>
                <w:color w:val="000000"/>
                <w:sz w:val="20"/>
              </w:rPr>
              <w:tab/>
              <w:t>14,645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99BAD1D" w14:textId="77777777" w:rsidR="006E60EE" w:rsidRDefault="006E60EE"/>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44D14F8" w14:textId="77777777" w:rsidR="006E60EE" w:rsidRDefault="004E2592">
            <w:pPr>
              <w:tabs>
                <w:tab w:val="left" w:pos="807"/>
                <w:tab w:val="left" w:pos="1372"/>
              </w:tabs>
              <w:spacing w:before="75" w:after="30"/>
              <w:jc w:val="right"/>
            </w:pPr>
            <w:r>
              <w:rPr>
                <w:rFonts w:ascii="Arial" w:eastAsia="Arial" w:hAnsi="Arial" w:cs="Arial"/>
                <w:color w:val="000000"/>
                <w:sz w:val="20"/>
              </w:rPr>
              <w:tab/>
              <w:t>9,737</w:t>
            </w:r>
            <w:r>
              <w:rPr>
                <w:rFonts w:ascii="Arial" w:eastAsia="Arial" w:hAnsi="Arial" w:cs="Arial"/>
                <w:color w:val="000000"/>
                <w:sz w:val="20"/>
              </w:rPr>
              <w:tab/>
            </w:r>
          </w:p>
        </w:tc>
      </w:tr>
      <w:tr w:rsidR="006E60EE" w14:paraId="43D73864" w14:textId="77777777">
        <w:trPr>
          <w:cantSplit/>
        </w:trPr>
        <w:tc>
          <w:tcPr>
            <w:tcW w:w="6960" w:type="dxa"/>
            <w:tcBorders>
              <w:top w:val="nil"/>
              <w:left w:val="nil"/>
              <w:bottom w:val="nil"/>
              <w:right w:val="nil"/>
            </w:tcBorders>
            <w:shd w:val="clear" w:color="auto" w:fill="FFFFFF"/>
            <w:tcMar>
              <w:top w:w="0" w:type="dxa"/>
              <w:left w:w="53" w:type="dxa"/>
              <w:bottom w:w="0" w:type="dxa"/>
              <w:right w:w="53" w:type="dxa"/>
            </w:tcMar>
          </w:tcPr>
          <w:p w14:paraId="378D4D41" w14:textId="77777777" w:rsidR="006E60EE" w:rsidRDefault="004E2592">
            <w:pPr>
              <w:spacing w:before="45" w:after="20"/>
            </w:pPr>
            <w:r>
              <w:rPr>
                <w:rFonts w:ascii="Arial" w:eastAsia="Arial" w:hAnsi="Arial" w:cs="Arial"/>
                <w:color w:val="000000"/>
                <w:sz w:val="20"/>
              </w:rPr>
              <w:t>Cash and cash equivalents, end of period</w:t>
            </w:r>
          </w:p>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2D98E6E" w14:textId="77777777" w:rsidR="006E60EE" w:rsidRDefault="004E2592">
            <w:pPr>
              <w:tabs>
                <w:tab w:val="left" w:pos="696"/>
                <w:tab w:val="left" w:pos="1372"/>
              </w:tabs>
              <w:spacing w:before="45" w:after="20"/>
              <w:jc w:val="right"/>
            </w:pPr>
            <w:r>
              <w:rPr>
                <w:rFonts w:ascii="Arial" w:eastAsia="Arial" w:hAnsi="Arial" w:cs="Arial"/>
                <w:color w:val="000000"/>
                <w:sz w:val="20"/>
              </w:rPr>
              <w:t>$</w:t>
            </w:r>
            <w:r>
              <w:rPr>
                <w:rFonts w:ascii="Arial" w:eastAsia="Arial" w:hAnsi="Arial" w:cs="Arial"/>
                <w:color w:val="000000"/>
                <w:sz w:val="20"/>
              </w:rPr>
              <w:tab/>
              <w:t>15,234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F39E74E" w14:textId="77777777" w:rsidR="006E60EE" w:rsidRDefault="006E60EE"/>
        </w:tc>
        <w:tc>
          <w:tcPr>
            <w:tcW w:w="144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B6B70E7" w14:textId="77777777" w:rsidR="006E60EE" w:rsidRDefault="004E2592">
            <w:pPr>
              <w:tabs>
                <w:tab w:val="left" w:pos="696"/>
                <w:tab w:val="left" w:pos="1372"/>
              </w:tabs>
              <w:spacing w:before="45" w:after="20"/>
              <w:jc w:val="right"/>
            </w:pPr>
            <w:r>
              <w:rPr>
                <w:rFonts w:ascii="Arial" w:eastAsia="Arial" w:hAnsi="Arial" w:cs="Arial"/>
                <w:color w:val="000000"/>
                <w:sz w:val="20"/>
              </w:rPr>
              <w:t>$</w:t>
            </w:r>
            <w:r>
              <w:rPr>
                <w:rFonts w:ascii="Arial" w:eastAsia="Arial" w:hAnsi="Arial" w:cs="Arial"/>
                <w:color w:val="000000"/>
                <w:sz w:val="20"/>
              </w:rPr>
              <w:tab/>
              <w:t>21,595</w:t>
            </w:r>
            <w:r>
              <w:rPr>
                <w:rFonts w:ascii="Arial" w:eastAsia="Arial" w:hAnsi="Arial" w:cs="Arial"/>
                <w:color w:val="000000"/>
                <w:sz w:val="20"/>
              </w:rPr>
              <w:tab/>
            </w:r>
          </w:p>
        </w:tc>
      </w:tr>
    </w:tbl>
    <w:p w14:paraId="329B3270" w14:textId="77777777" w:rsidR="006E60EE" w:rsidRDefault="006E60EE">
      <w:pPr>
        <w:spacing w:line="288" w:lineRule="auto"/>
        <w:rPr>
          <w:rFonts w:ascii="Arial" w:eastAsia="Arial" w:hAnsi="Arial" w:cs="Arial"/>
          <w:sz w:val="2"/>
        </w:rPr>
      </w:pPr>
    </w:p>
    <w:p w14:paraId="06EAD1ED" w14:textId="77777777" w:rsidR="006E60EE" w:rsidRDefault="006E60EE">
      <w:pPr>
        <w:spacing w:line="288" w:lineRule="auto"/>
        <w:rPr>
          <w:rFonts w:ascii="Arial" w:eastAsia="Arial" w:hAnsi="Arial" w:cs="Arial"/>
          <w:sz w:val="2"/>
        </w:rPr>
        <w:sectPr w:rsidR="006E60EE" w:rsidSect="00CD06A6">
          <w:pgSz w:w="12240" w:h="15840"/>
          <w:pgMar w:top="900" w:right="1170" w:bottom="900" w:left="1170" w:header="0" w:footer="0" w:gutter="0"/>
          <w:cols w:space="708"/>
        </w:sectPr>
      </w:pPr>
    </w:p>
    <w:p w14:paraId="79841F66" w14:textId="77777777" w:rsidR="006E60EE" w:rsidRDefault="004E2592">
      <w:pPr>
        <w:keepNext/>
        <w:spacing w:line="288" w:lineRule="auto"/>
        <w:jc w:val="center"/>
        <w:outlineLvl w:val="1"/>
        <w:rPr>
          <w:rFonts w:ascii="Arial" w:eastAsia="Arial" w:hAnsi="Arial" w:cs="Arial"/>
          <w:sz w:val="20"/>
        </w:rPr>
      </w:pPr>
      <w:bookmarkStart w:id="3" w:name="Section5"/>
      <w:bookmarkEnd w:id="3"/>
      <w:r>
        <w:rPr>
          <w:rFonts w:ascii="Arial" w:eastAsia="Arial" w:hAnsi="Arial" w:cs="Arial"/>
          <w:sz w:val="20"/>
        </w:rPr>
        <w:lastRenderedPageBreak/>
        <w:t>MariMed Inc.</w:t>
      </w:r>
    </w:p>
    <w:p w14:paraId="5CB595FF"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Reconciliation of Non-GAAP and GAAP Financial Measures</w:t>
      </w:r>
    </w:p>
    <w:p w14:paraId="3D4840E9"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(in thousands, except percentages)</w:t>
      </w:r>
    </w:p>
    <w:p w14:paraId="17EF0C5B"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(unaudited)</w:t>
      </w:r>
    </w:p>
    <w:p w14:paraId="48B9AD24" w14:textId="77777777" w:rsidR="006E60EE" w:rsidRDefault="006E60EE">
      <w:pPr>
        <w:keepNext/>
        <w:spacing w:after="200" w:line="288" w:lineRule="auto"/>
        <w:jc w:val="center"/>
        <w:rPr>
          <w:rFonts w:ascii="Arial" w:eastAsia="Arial" w:hAnsi="Arial" w:cs="Arial"/>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4"/>
        <w:gridCol w:w="1303"/>
        <w:gridCol w:w="80"/>
        <w:gridCol w:w="1303"/>
      </w:tblGrid>
      <w:tr w:rsidR="006E60EE" w14:paraId="7ABD31AC" w14:textId="77777777">
        <w:trPr>
          <w:cantSplit/>
        </w:trPr>
        <w:tc>
          <w:tcPr>
            <w:tcW w:w="7230" w:type="dxa"/>
            <w:tcBorders>
              <w:top w:val="nil"/>
              <w:left w:val="nil"/>
              <w:bottom w:val="nil"/>
              <w:right w:val="nil"/>
            </w:tcBorders>
            <w:tcMar>
              <w:top w:w="0" w:type="dxa"/>
              <w:left w:w="53" w:type="dxa"/>
              <w:bottom w:w="0" w:type="dxa"/>
              <w:right w:w="53" w:type="dxa"/>
            </w:tcMar>
            <w:vAlign w:val="bottom"/>
          </w:tcPr>
          <w:p w14:paraId="16340CC1" w14:textId="77777777" w:rsidR="006E60EE" w:rsidRDefault="004E2592">
            <w:pPr>
              <w:keepNext/>
              <w:spacing w:before="65" w:after="20"/>
            </w:pPr>
            <w:r>
              <w:rPr>
                <w:rFonts w:ascii="Arial" w:eastAsia="Arial" w:hAnsi="Arial" w:cs="Arial"/>
                <w:color w:val="000000"/>
                <w:sz w:val="20"/>
              </w:rPr>
              <w:t xml:space="preserve"> </w:t>
            </w:r>
          </w:p>
        </w:tc>
        <w:tc>
          <w:tcPr>
            <w:tcW w:w="2670" w:type="dxa"/>
            <w:gridSpan w:val="3"/>
            <w:tcBorders>
              <w:top w:val="nil"/>
              <w:left w:val="nil"/>
              <w:bottom w:val="nil"/>
              <w:right w:val="nil"/>
            </w:tcBorders>
            <w:tcMar>
              <w:top w:w="0" w:type="dxa"/>
              <w:left w:w="53" w:type="dxa"/>
              <w:bottom w:w="0" w:type="dxa"/>
              <w:right w:w="53" w:type="dxa"/>
            </w:tcMar>
            <w:vAlign w:val="bottom"/>
          </w:tcPr>
          <w:p w14:paraId="65DA174F" w14:textId="77777777" w:rsidR="006E60EE" w:rsidRDefault="004E2592">
            <w:pPr>
              <w:keepNext/>
              <w:spacing w:before="65" w:after="20"/>
              <w:jc w:val="center"/>
            </w:pPr>
            <w:r>
              <w:rPr>
                <w:rFonts w:ascii="Arial" w:eastAsia="Arial" w:hAnsi="Arial" w:cs="Arial"/>
                <w:color w:val="000000"/>
                <w:sz w:val="20"/>
              </w:rPr>
              <w:t>Three months ended</w:t>
            </w:r>
          </w:p>
        </w:tc>
      </w:tr>
      <w:tr w:rsidR="006E60EE" w14:paraId="765E9C5F" w14:textId="77777777">
        <w:trPr>
          <w:cantSplit/>
          <w:trHeight w:hRule="exact" w:val="285"/>
        </w:trPr>
        <w:tc>
          <w:tcPr>
            <w:tcW w:w="7230" w:type="dxa"/>
            <w:tcBorders>
              <w:top w:val="nil"/>
              <w:left w:val="nil"/>
              <w:bottom w:val="nil"/>
              <w:right w:val="nil"/>
            </w:tcBorders>
            <w:tcMar>
              <w:top w:w="0" w:type="dxa"/>
              <w:left w:w="0" w:type="dxa"/>
              <w:bottom w:w="0" w:type="dxa"/>
              <w:right w:w="0" w:type="dxa"/>
            </w:tcMar>
            <w:vAlign w:val="bottom"/>
          </w:tcPr>
          <w:p w14:paraId="47279CFA" w14:textId="77777777" w:rsidR="006E60EE" w:rsidRDefault="006E60EE">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55BE08A6" w14:textId="77777777" w:rsidR="006E60EE" w:rsidRDefault="004E2592">
            <w:pPr>
              <w:keepNext/>
              <w:spacing w:before="75" w:after="30"/>
              <w:jc w:val="center"/>
            </w:pPr>
            <w:r>
              <w:rPr>
                <w:rFonts w:ascii="Arial" w:eastAsia="Arial" w:hAnsi="Arial" w:cs="Arial"/>
                <w:color w:val="000000"/>
                <w:sz w:val="20"/>
              </w:rPr>
              <w:t>March 31,</w:t>
            </w:r>
          </w:p>
        </w:tc>
      </w:tr>
      <w:tr w:rsidR="006E60EE" w14:paraId="48BB6DBD" w14:textId="77777777">
        <w:trPr>
          <w:cantSplit/>
        </w:trPr>
        <w:tc>
          <w:tcPr>
            <w:tcW w:w="7230" w:type="dxa"/>
            <w:tcBorders>
              <w:top w:val="nil"/>
              <w:left w:val="nil"/>
              <w:bottom w:val="nil"/>
              <w:right w:val="nil"/>
            </w:tcBorders>
            <w:tcMar>
              <w:top w:w="0" w:type="dxa"/>
              <w:left w:w="53" w:type="dxa"/>
              <w:bottom w:w="0" w:type="dxa"/>
              <w:right w:w="53" w:type="dxa"/>
            </w:tcMar>
            <w:vAlign w:val="bottom"/>
          </w:tcPr>
          <w:p w14:paraId="26A1E113" w14:textId="77777777" w:rsidR="006E60EE" w:rsidRDefault="004E2592">
            <w:pPr>
              <w:keepNext/>
              <w:spacing w:before="45" w:after="20"/>
            </w:pPr>
            <w:r>
              <w:rPr>
                <w:rFonts w:ascii="Arial" w:eastAsia="Arial" w:hAnsi="Arial" w:cs="Arial"/>
                <w:color w:val="000000"/>
                <w:sz w:val="20"/>
              </w:rPr>
              <w:t xml:space="preserve"> </w:t>
            </w: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2B44536C" w14:textId="77777777" w:rsidR="006E60EE" w:rsidRDefault="004E2592">
            <w:pPr>
              <w:keepNext/>
              <w:spacing w:before="45" w:after="20"/>
              <w:jc w:val="center"/>
            </w:pPr>
            <w:r>
              <w:rPr>
                <w:rFonts w:ascii="Arial" w:eastAsia="Arial" w:hAnsi="Arial" w:cs="Arial"/>
                <w:color w:val="000000"/>
                <w:sz w:val="18"/>
              </w:rPr>
              <w:t>2024</w:t>
            </w:r>
          </w:p>
        </w:tc>
        <w:tc>
          <w:tcPr>
            <w:tcW w:w="60" w:type="dxa"/>
            <w:tcBorders>
              <w:top w:val="single" w:sz="8" w:space="0" w:color="000000"/>
              <w:left w:val="nil"/>
              <w:bottom w:val="nil"/>
              <w:right w:val="nil"/>
            </w:tcBorders>
            <w:tcMar>
              <w:top w:w="0" w:type="dxa"/>
              <w:left w:w="30" w:type="dxa"/>
              <w:bottom w:w="0" w:type="dxa"/>
              <w:right w:w="30" w:type="dxa"/>
            </w:tcMar>
            <w:vAlign w:val="bottom"/>
          </w:tcPr>
          <w:p w14:paraId="77410E94" w14:textId="77777777" w:rsidR="006E60EE" w:rsidRDefault="006E60EE">
            <w:pPr>
              <w:keepNext/>
              <w:spacing w:before="45" w:after="2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5D93463" w14:textId="77777777" w:rsidR="006E60EE" w:rsidRDefault="004E2592">
            <w:pPr>
              <w:keepNext/>
              <w:spacing w:before="45" w:after="20"/>
              <w:jc w:val="center"/>
            </w:pPr>
            <w:r>
              <w:rPr>
                <w:rFonts w:ascii="Arial" w:eastAsia="Arial" w:hAnsi="Arial" w:cs="Arial"/>
                <w:color w:val="000000"/>
                <w:sz w:val="18"/>
              </w:rPr>
              <w:t>2023</w:t>
            </w:r>
          </w:p>
        </w:tc>
      </w:tr>
      <w:tr w:rsidR="006E60EE" w14:paraId="0CA64E3F"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596DD934" w14:textId="77777777" w:rsidR="006E60EE" w:rsidRDefault="004E2592">
            <w:pPr>
              <w:keepNext/>
              <w:spacing w:before="45" w:after="20"/>
            </w:pPr>
            <w:r>
              <w:rPr>
                <w:rFonts w:ascii="Arial" w:eastAsia="Arial" w:hAnsi="Arial" w:cs="Arial"/>
                <w:b/>
                <w:color w:val="000000"/>
                <w:sz w:val="20"/>
              </w:rPr>
              <w:t>Non-GAAP Adjusted EBITDA</w:t>
            </w: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328F28"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CAAE79E" w14:textId="77777777" w:rsidR="006E60EE" w:rsidRDefault="006E60EE">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847C6F" w14:textId="77777777" w:rsidR="006E60EE" w:rsidRDefault="006E60EE">
            <w:pPr>
              <w:keepNext/>
            </w:pPr>
          </w:p>
        </w:tc>
      </w:tr>
      <w:tr w:rsidR="006E60EE" w14:paraId="794AD55B"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631488E6" w14:textId="77777777" w:rsidR="006E60EE" w:rsidRDefault="004E2592">
            <w:pPr>
              <w:keepNext/>
              <w:spacing w:before="65" w:after="20"/>
              <w:ind w:left="240"/>
            </w:pPr>
            <w:r>
              <w:rPr>
                <w:rFonts w:ascii="Arial" w:eastAsia="Arial" w:hAnsi="Arial" w:cs="Arial"/>
                <w:b/>
                <w:i/>
                <w:color w:val="000000"/>
                <w:sz w:val="20"/>
              </w:rPr>
              <w:t>GAAP Income from operations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5D4BA5F" w14:textId="77777777" w:rsidR="006E60EE" w:rsidRDefault="004E2592">
            <w:pPr>
              <w:keepNext/>
              <w:tabs>
                <w:tab w:val="left" w:pos="494"/>
                <w:tab w:val="left" w:pos="1237"/>
              </w:tabs>
              <w:spacing w:before="65" w:after="20"/>
              <w:jc w:val="right"/>
            </w:pPr>
            <w:r>
              <w:rPr>
                <w:rFonts w:ascii="Arial" w:eastAsia="Arial" w:hAnsi="Arial" w:cs="Arial"/>
                <w:color w:val="000000"/>
                <w:sz w:val="20"/>
              </w:rPr>
              <w:t>$</w:t>
            </w:r>
            <w:r>
              <w:rPr>
                <w:rFonts w:ascii="Arial" w:eastAsia="Arial" w:hAnsi="Arial" w:cs="Arial"/>
                <w:color w:val="000000"/>
                <w:sz w:val="20"/>
              </w:rPr>
              <w:tab/>
              <w:t>2,021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FE87AE"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BA80EC0" w14:textId="77777777" w:rsidR="006E60EE" w:rsidRDefault="004E2592">
            <w:pPr>
              <w:keepNext/>
              <w:tabs>
                <w:tab w:val="left" w:pos="494"/>
                <w:tab w:val="left" w:pos="1237"/>
              </w:tabs>
              <w:spacing w:before="65" w:after="20"/>
              <w:jc w:val="right"/>
            </w:pPr>
            <w:r>
              <w:rPr>
                <w:rFonts w:ascii="Arial" w:eastAsia="Arial" w:hAnsi="Arial" w:cs="Arial"/>
                <w:color w:val="000000"/>
                <w:sz w:val="20"/>
              </w:rPr>
              <w:t>$</w:t>
            </w:r>
            <w:r>
              <w:rPr>
                <w:rFonts w:ascii="Arial" w:eastAsia="Arial" w:hAnsi="Arial" w:cs="Arial"/>
                <w:color w:val="000000"/>
                <w:sz w:val="20"/>
              </w:rPr>
              <w:tab/>
              <w:t>5,135</w:t>
            </w:r>
            <w:r>
              <w:rPr>
                <w:rFonts w:ascii="Arial" w:eastAsia="Arial" w:hAnsi="Arial" w:cs="Arial"/>
                <w:color w:val="000000"/>
                <w:sz w:val="20"/>
              </w:rPr>
              <w:tab/>
            </w:r>
          </w:p>
        </w:tc>
      </w:tr>
      <w:tr w:rsidR="006E60EE" w14:paraId="3BCEEDB3"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46E7FCC5" w14:textId="77777777" w:rsidR="006E60EE" w:rsidRDefault="004E2592">
            <w:pPr>
              <w:keepNext/>
              <w:spacing w:before="65" w:after="20"/>
              <w:ind w:left="240"/>
            </w:pPr>
            <w:r>
              <w:rPr>
                <w:rFonts w:ascii="Arial" w:eastAsia="Arial" w:hAnsi="Arial" w:cs="Arial"/>
                <w:color w:val="000000"/>
                <w:sz w:val="20"/>
              </w:rPr>
              <w:t>Depreciation and amortization of property and equipment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CD8DD05" w14:textId="77777777" w:rsidR="006E60EE" w:rsidRDefault="004E2592">
            <w:pPr>
              <w:keepNext/>
              <w:tabs>
                <w:tab w:val="left" w:pos="494"/>
                <w:tab w:val="left" w:pos="1237"/>
              </w:tabs>
              <w:spacing w:before="65" w:after="20"/>
              <w:jc w:val="right"/>
            </w:pPr>
            <w:r>
              <w:rPr>
                <w:rFonts w:ascii="Arial" w:eastAsia="Arial" w:hAnsi="Arial" w:cs="Arial"/>
                <w:color w:val="000000"/>
                <w:sz w:val="20"/>
              </w:rPr>
              <w:tab/>
              <w:t>1,938</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A3DF49"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7B9BE86"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986</w:t>
            </w:r>
            <w:r>
              <w:rPr>
                <w:rFonts w:ascii="Arial" w:eastAsia="Arial" w:hAnsi="Arial" w:cs="Arial"/>
                <w:color w:val="000000"/>
                <w:sz w:val="20"/>
              </w:rPr>
              <w:tab/>
            </w:r>
          </w:p>
        </w:tc>
      </w:tr>
      <w:tr w:rsidR="006E60EE" w14:paraId="72951784"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0C81CFC3" w14:textId="77777777" w:rsidR="006E60EE" w:rsidRDefault="004E2592">
            <w:pPr>
              <w:keepNext/>
              <w:spacing w:before="65" w:after="20"/>
              <w:ind w:left="240"/>
            </w:pPr>
            <w:r>
              <w:rPr>
                <w:rFonts w:ascii="Arial" w:eastAsia="Arial" w:hAnsi="Arial" w:cs="Arial"/>
                <w:color w:val="000000"/>
                <w:sz w:val="20"/>
              </w:rPr>
              <w:t>Amortization of acquired intangible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B0C163F"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374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BE67BF"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89EE3C7"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557</w:t>
            </w:r>
            <w:r>
              <w:rPr>
                <w:rFonts w:ascii="Arial" w:eastAsia="Arial" w:hAnsi="Arial" w:cs="Arial"/>
                <w:color w:val="000000"/>
                <w:sz w:val="20"/>
              </w:rPr>
              <w:tab/>
            </w:r>
          </w:p>
        </w:tc>
      </w:tr>
      <w:tr w:rsidR="006E60EE" w14:paraId="27B84130"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5CB41511" w14:textId="77777777" w:rsidR="006E60EE" w:rsidRDefault="004E2592">
            <w:pPr>
              <w:keepNext/>
              <w:spacing w:before="65" w:after="20"/>
              <w:ind w:left="240"/>
            </w:pPr>
            <w:r>
              <w:rPr>
                <w:rFonts w:ascii="Arial" w:eastAsia="Arial" w:hAnsi="Arial" w:cs="Arial"/>
                <w:color w:val="000000"/>
                <w:sz w:val="20"/>
              </w:rPr>
              <w:t>Stock-based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3991F98"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244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45DCBB5"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D5CAF27"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206</w:t>
            </w:r>
            <w:r>
              <w:rPr>
                <w:rFonts w:ascii="Arial" w:eastAsia="Arial" w:hAnsi="Arial" w:cs="Arial"/>
                <w:color w:val="000000"/>
                <w:sz w:val="20"/>
              </w:rPr>
              <w:tab/>
            </w:r>
          </w:p>
        </w:tc>
      </w:tr>
      <w:tr w:rsidR="006E60EE" w14:paraId="729DFBA0"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62A995FE" w14:textId="77777777" w:rsidR="006E60EE" w:rsidRDefault="004E2592">
            <w:pPr>
              <w:keepNext/>
              <w:spacing w:before="65" w:after="20"/>
              <w:ind w:left="240"/>
            </w:pPr>
            <w:r>
              <w:rPr>
                <w:rFonts w:ascii="Arial" w:eastAsia="Arial" w:hAnsi="Arial" w:cs="Arial"/>
                <w:color w:val="000000"/>
                <w:sz w:val="20"/>
              </w:rPr>
              <w:t>Acquisition-related and other</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EC1D06" w14:textId="77777777" w:rsidR="006E60EE" w:rsidRDefault="004E2592">
            <w:pPr>
              <w:keepNext/>
              <w:tabs>
                <w:tab w:val="left" w:pos="772"/>
                <w:tab w:val="left" w:pos="1237"/>
              </w:tabs>
              <w:spacing w:before="65" w:after="20"/>
              <w:jc w:val="right"/>
            </w:pPr>
            <w:r>
              <w:rPr>
                <w:rFonts w:ascii="Arial" w:eastAsia="Arial" w:hAnsi="Arial" w:cs="Arial"/>
                <w:color w:val="000000"/>
                <w:sz w:val="20"/>
              </w:rPr>
              <w:tab/>
              <w:t>84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3222A4C"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0BD8B83" w14:textId="77777777" w:rsidR="006E60EE" w:rsidRDefault="004E2592">
            <w:pPr>
              <w:keepNext/>
              <w:tabs>
                <w:tab w:val="left" w:pos="661"/>
                <w:tab w:val="left" w:pos="1237"/>
              </w:tabs>
              <w:spacing w:before="65" w:after="20"/>
              <w:jc w:val="right"/>
            </w:pPr>
            <w:r>
              <w:rPr>
                <w:rFonts w:ascii="Arial" w:eastAsia="Arial" w:hAnsi="Arial" w:cs="Arial"/>
                <w:color w:val="000000"/>
                <w:sz w:val="20"/>
              </w:rPr>
              <w:tab/>
              <w:t>190</w:t>
            </w:r>
            <w:r>
              <w:rPr>
                <w:rFonts w:ascii="Arial" w:eastAsia="Arial" w:hAnsi="Arial" w:cs="Arial"/>
                <w:color w:val="000000"/>
                <w:sz w:val="20"/>
              </w:rPr>
              <w:tab/>
            </w:r>
          </w:p>
        </w:tc>
      </w:tr>
      <w:tr w:rsidR="006E60EE" w14:paraId="2F4663C0"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31CB1D91" w14:textId="77777777" w:rsidR="006E60EE" w:rsidRDefault="004E2592">
            <w:pPr>
              <w:keepNext/>
              <w:spacing w:before="45" w:after="20"/>
              <w:ind w:left="240"/>
            </w:pPr>
            <w:r>
              <w:rPr>
                <w:rFonts w:ascii="Arial" w:eastAsia="Arial" w:hAnsi="Arial" w:cs="Arial"/>
                <w:b/>
                <w:i/>
                <w:color w:val="000000"/>
                <w:sz w:val="20"/>
              </w:rPr>
              <w:t>Adjusted EBITDA</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83A01A4" w14:textId="77777777" w:rsidR="006E60EE" w:rsidRDefault="004E2592">
            <w:pPr>
              <w:keepNext/>
              <w:tabs>
                <w:tab w:val="left" w:pos="494"/>
                <w:tab w:val="left" w:pos="1237"/>
              </w:tabs>
              <w:spacing w:before="45" w:after="20"/>
              <w:jc w:val="right"/>
            </w:pPr>
            <w:r>
              <w:rPr>
                <w:rFonts w:ascii="Arial" w:eastAsia="Arial" w:hAnsi="Arial" w:cs="Arial"/>
                <w:color w:val="000000"/>
                <w:sz w:val="20"/>
              </w:rPr>
              <w:t>$</w:t>
            </w:r>
            <w:r>
              <w:rPr>
                <w:rFonts w:ascii="Arial" w:eastAsia="Arial" w:hAnsi="Arial" w:cs="Arial"/>
                <w:color w:val="000000"/>
                <w:sz w:val="20"/>
              </w:rPr>
              <w:tab/>
              <w:t>4,661</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45DD2BC" w14:textId="77777777" w:rsidR="006E60EE" w:rsidRDefault="006E60EE">
            <w:pPr>
              <w:keepNext/>
            </w:pP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E6A4E30" w14:textId="77777777" w:rsidR="006E60EE" w:rsidRDefault="004E2592">
            <w:pPr>
              <w:keepNext/>
              <w:tabs>
                <w:tab w:val="left" w:pos="494"/>
                <w:tab w:val="left" w:pos="1237"/>
              </w:tabs>
              <w:spacing w:before="45" w:after="20"/>
              <w:jc w:val="right"/>
            </w:pPr>
            <w:r>
              <w:rPr>
                <w:rFonts w:ascii="Arial" w:eastAsia="Arial" w:hAnsi="Arial" w:cs="Arial"/>
                <w:color w:val="000000"/>
                <w:sz w:val="20"/>
              </w:rPr>
              <w:t>$</w:t>
            </w:r>
            <w:r>
              <w:rPr>
                <w:rFonts w:ascii="Arial" w:eastAsia="Arial" w:hAnsi="Arial" w:cs="Arial"/>
                <w:color w:val="000000"/>
                <w:sz w:val="20"/>
              </w:rPr>
              <w:tab/>
              <w:t>7,074</w:t>
            </w:r>
            <w:r>
              <w:rPr>
                <w:rFonts w:ascii="Arial" w:eastAsia="Arial" w:hAnsi="Arial" w:cs="Arial"/>
                <w:color w:val="000000"/>
                <w:sz w:val="20"/>
              </w:rPr>
              <w:tab/>
            </w:r>
          </w:p>
        </w:tc>
      </w:tr>
      <w:tr w:rsidR="006E60EE" w14:paraId="4B64C7A6" w14:textId="77777777">
        <w:trPr>
          <w:cantSplit/>
        </w:trPr>
        <w:tc>
          <w:tcPr>
            <w:tcW w:w="7230" w:type="dxa"/>
            <w:tcBorders>
              <w:top w:val="nil"/>
              <w:left w:val="nil"/>
              <w:bottom w:val="nil"/>
              <w:right w:val="nil"/>
            </w:tcBorders>
            <w:shd w:val="clear" w:color="auto" w:fill="FFFFFF"/>
            <w:tcMar>
              <w:top w:w="0" w:type="dxa"/>
              <w:left w:w="0" w:type="dxa"/>
              <w:bottom w:w="0" w:type="dxa"/>
              <w:right w:w="0" w:type="dxa"/>
            </w:tcMar>
            <w:vAlign w:val="bottom"/>
          </w:tcPr>
          <w:p w14:paraId="3A6D8E33" w14:textId="77777777" w:rsidR="006E60EE" w:rsidRDefault="006E60EE">
            <w:pPr>
              <w:keepNext/>
            </w:pPr>
          </w:p>
        </w:tc>
        <w:tc>
          <w:tcPr>
            <w:tcW w:w="130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7F4FF04" w14:textId="77777777" w:rsidR="006E60EE" w:rsidRDefault="006E60EE">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CE7F0AE" w14:textId="77777777" w:rsidR="006E60EE" w:rsidRDefault="006E60EE">
            <w:pPr>
              <w:keepNext/>
            </w:pPr>
          </w:p>
        </w:tc>
        <w:tc>
          <w:tcPr>
            <w:tcW w:w="130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9090DD7" w14:textId="77777777" w:rsidR="006E60EE" w:rsidRDefault="006E60EE">
            <w:pPr>
              <w:keepNext/>
            </w:pPr>
          </w:p>
        </w:tc>
      </w:tr>
      <w:tr w:rsidR="006E60EE" w14:paraId="0DE4790E"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44BFD46" w14:textId="77777777" w:rsidR="006E60EE" w:rsidRDefault="004E2592">
            <w:pPr>
              <w:keepNext/>
              <w:spacing w:before="65" w:after="20"/>
            </w:pPr>
            <w:r>
              <w:rPr>
                <w:rFonts w:ascii="Arial" w:eastAsia="Arial" w:hAnsi="Arial" w:cs="Arial"/>
                <w:b/>
                <w:color w:val="000000"/>
                <w:sz w:val="20"/>
              </w:rPr>
              <w:t>Non-GAAP Adjusted EBITDA Margin (Non-GAAP adjusted EBITDA as a percentage of revenue)</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22405BB2"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0A797C"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1EE337E8" w14:textId="77777777" w:rsidR="006E60EE" w:rsidRDefault="006E60EE">
            <w:pPr>
              <w:keepNext/>
            </w:pPr>
          </w:p>
        </w:tc>
      </w:tr>
      <w:tr w:rsidR="006E60EE" w14:paraId="018A9EC0"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1104C34A" w14:textId="77777777" w:rsidR="006E60EE" w:rsidRDefault="004E2592">
            <w:pPr>
              <w:keepNext/>
              <w:spacing w:before="65" w:after="20"/>
              <w:ind w:left="240"/>
            </w:pPr>
            <w:r>
              <w:rPr>
                <w:rFonts w:ascii="Arial" w:eastAsia="Arial" w:hAnsi="Arial" w:cs="Arial"/>
                <w:b/>
                <w:i/>
                <w:color w:val="000000"/>
                <w:sz w:val="20"/>
              </w:rPr>
              <w:t>GAAP Income from operations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EC4A002" w14:textId="77777777" w:rsidR="006E60EE" w:rsidRDefault="004E2592">
            <w:pPr>
              <w:keepNext/>
              <w:tabs>
                <w:tab w:val="left" w:pos="1"/>
                <w:tab w:val="left" w:pos="522"/>
              </w:tabs>
              <w:spacing w:before="65" w:after="20"/>
              <w:jc w:val="right"/>
            </w:pPr>
            <w:r>
              <w:rPr>
                <w:rFonts w:ascii="Arial" w:eastAsia="Arial" w:hAnsi="Arial" w:cs="Arial"/>
                <w:color w:val="000000"/>
                <w:sz w:val="20"/>
              </w:rPr>
              <w:tab/>
              <w:t>5.3%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83B5A6C"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808B813" w14:textId="77777777" w:rsidR="006E60EE" w:rsidRDefault="004E2592">
            <w:pPr>
              <w:keepNext/>
              <w:tabs>
                <w:tab w:val="left" w:pos="1"/>
                <w:tab w:val="left" w:pos="633"/>
              </w:tabs>
              <w:spacing w:before="65" w:after="20"/>
              <w:jc w:val="right"/>
            </w:pPr>
            <w:r>
              <w:rPr>
                <w:rFonts w:ascii="Arial" w:eastAsia="Arial" w:hAnsi="Arial" w:cs="Arial"/>
                <w:color w:val="000000"/>
                <w:sz w:val="20"/>
              </w:rPr>
              <w:tab/>
              <w:t>14.9%</w:t>
            </w:r>
            <w:r>
              <w:rPr>
                <w:rFonts w:ascii="Arial" w:eastAsia="Arial" w:hAnsi="Arial" w:cs="Arial"/>
                <w:color w:val="000000"/>
                <w:sz w:val="20"/>
              </w:rPr>
              <w:tab/>
            </w:r>
          </w:p>
        </w:tc>
      </w:tr>
      <w:tr w:rsidR="006E60EE" w14:paraId="0BA4AEF0"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3DF8EA51" w14:textId="77777777" w:rsidR="006E60EE" w:rsidRDefault="004E2592">
            <w:pPr>
              <w:keepNext/>
              <w:spacing w:before="65" w:after="20"/>
              <w:ind w:left="240"/>
            </w:pPr>
            <w:r>
              <w:rPr>
                <w:rFonts w:ascii="Arial" w:eastAsia="Arial" w:hAnsi="Arial" w:cs="Arial"/>
                <w:color w:val="000000"/>
                <w:sz w:val="20"/>
              </w:rPr>
              <w:t>Depreciation and amortization of property and equipment</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141F29B" w14:textId="77777777" w:rsidR="006E60EE" w:rsidRDefault="004E2592">
            <w:pPr>
              <w:keepNext/>
              <w:tabs>
                <w:tab w:val="left" w:pos="1"/>
                <w:tab w:val="left" w:pos="522"/>
              </w:tabs>
              <w:spacing w:before="65" w:after="20"/>
              <w:jc w:val="right"/>
            </w:pPr>
            <w:r>
              <w:rPr>
                <w:rFonts w:ascii="Arial" w:eastAsia="Arial" w:hAnsi="Arial" w:cs="Arial"/>
                <w:color w:val="000000"/>
                <w:sz w:val="20"/>
              </w:rPr>
              <w:tab/>
              <w:t>5.2%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A04E6B2"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91311F5" w14:textId="77777777" w:rsidR="006E60EE" w:rsidRDefault="004E2592">
            <w:pPr>
              <w:keepNext/>
              <w:tabs>
                <w:tab w:val="left" w:pos="1"/>
                <w:tab w:val="left" w:pos="522"/>
              </w:tabs>
              <w:spacing w:before="65" w:after="20"/>
              <w:jc w:val="right"/>
            </w:pPr>
            <w:r>
              <w:rPr>
                <w:rFonts w:ascii="Arial" w:eastAsia="Arial" w:hAnsi="Arial" w:cs="Arial"/>
                <w:color w:val="000000"/>
                <w:sz w:val="20"/>
              </w:rPr>
              <w:tab/>
              <w:t>2.9%</w:t>
            </w:r>
            <w:r>
              <w:rPr>
                <w:rFonts w:ascii="Arial" w:eastAsia="Arial" w:hAnsi="Arial" w:cs="Arial"/>
                <w:color w:val="000000"/>
                <w:sz w:val="20"/>
              </w:rPr>
              <w:tab/>
            </w:r>
          </w:p>
        </w:tc>
      </w:tr>
      <w:tr w:rsidR="006E60EE" w14:paraId="399C5398"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47D7D2E0" w14:textId="77777777" w:rsidR="006E60EE" w:rsidRDefault="004E2592">
            <w:pPr>
              <w:keepNext/>
              <w:spacing w:before="65" w:after="20"/>
              <w:ind w:left="240"/>
            </w:pPr>
            <w:r>
              <w:rPr>
                <w:rFonts w:ascii="Arial" w:eastAsia="Arial" w:hAnsi="Arial" w:cs="Arial"/>
                <w:color w:val="000000"/>
                <w:sz w:val="20"/>
              </w:rPr>
              <w:t>Amortization of acquired intangible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DC1C33A" w14:textId="77777777" w:rsidR="006E60EE" w:rsidRDefault="004E2592">
            <w:pPr>
              <w:keepNext/>
              <w:tabs>
                <w:tab w:val="left" w:pos="1"/>
                <w:tab w:val="left" w:pos="522"/>
              </w:tabs>
              <w:spacing w:before="65" w:after="20"/>
              <w:jc w:val="right"/>
            </w:pPr>
            <w:r>
              <w:rPr>
                <w:rFonts w:ascii="Arial" w:eastAsia="Arial" w:hAnsi="Arial" w:cs="Arial"/>
                <w:color w:val="000000"/>
                <w:sz w:val="20"/>
              </w:rPr>
              <w:tab/>
              <w:t>1.0%</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D6B5878"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A2DC99D" w14:textId="77777777" w:rsidR="006E60EE" w:rsidRDefault="004E2592">
            <w:pPr>
              <w:keepNext/>
              <w:tabs>
                <w:tab w:val="left" w:pos="1"/>
                <w:tab w:val="left" w:pos="522"/>
              </w:tabs>
              <w:spacing w:before="65" w:after="20"/>
              <w:jc w:val="right"/>
            </w:pPr>
            <w:r>
              <w:rPr>
                <w:rFonts w:ascii="Arial" w:eastAsia="Arial" w:hAnsi="Arial" w:cs="Arial"/>
                <w:color w:val="000000"/>
                <w:sz w:val="20"/>
              </w:rPr>
              <w:tab/>
              <w:t>1.6%</w:t>
            </w:r>
            <w:r>
              <w:rPr>
                <w:rFonts w:ascii="Arial" w:eastAsia="Arial" w:hAnsi="Arial" w:cs="Arial"/>
                <w:color w:val="000000"/>
                <w:sz w:val="20"/>
              </w:rPr>
              <w:tab/>
            </w:r>
          </w:p>
        </w:tc>
      </w:tr>
      <w:tr w:rsidR="006E60EE" w14:paraId="2ABF0049"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3D3FB39A" w14:textId="77777777" w:rsidR="006E60EE" w:rsidRDefault="004E2592">
            <w:pPr>
              <w:keepNext/>
              <w:spacing w:before="65" w:after="20"/>
              <w:ind w:left="240"/>
            </w:pPr>
            <w:r>
              <w:rPr>
                <w:rFonts w:ascii="Arial" w:eastAsia="Arial" w:hAnsi="Arial" w:cs="Arial"/>
                <w:color w:val="000000"/>
                <w:sz w:val="20"/>
              </w:rPr>
              <w:t>Stock-based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FD9FC6D" w14:textId="77777777" w:rsidR="006E60EE" w:rsidRDefault="004E2592">
            <w:pPr>
              <w:keepNext/>
              <w:tabs>
                <w:tab w:val="left" w:pos="1"/>
                <w:tab w:val="left" w:pos="522"/>
              </w:tabs>
              <w:spacing w:before="65" w:after="20"/>
              <w:jc w:val="right"/>
            </w:pPr>
            <w:r>
              <w:rPr>
                <w:rFonts w:ascii="Arial" w:eastAsia="Arial" w:hAnsi="Arial" w:cs="Arial"/>
                <w:color w:val="000000"/>
                <w:sz w:val="20"/>
              </w:rPr>
              <w:tab/>
              <w:t>0.6%</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8B5C77F"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0B35489" w14:textId="77777777" w:rsidR="006E60EE" w:rsidRDefault="004E2592">
            <w:pPr>
              <w:keepNext/>
              <w:tabs>
                <w:tab w:val="left" w:pos="1"/>
                <w:tab w:val="left" w:pos="522"/>
              </w:tabs>
              <w:spacing w:before="65" w:after="20"/>
              <w:jc w:val="right"/>
            </w:pPr>
            <w:r>
              <w:rPr>
                <w:rFonts w:ascii="Arial" w:eastAsia="Arial" w:hAnsi="Arial" w:cs="Arial"/>
                <w:color w:val="000000"/>
                <w:sz w:val="20"/>
              </w:rPr>
              <w:tab/>
              <w:t>0.6%</w:t>
            </w:r>
            <w:r>
              <w:rPr>
                <w:rFonts w:ascii="Arial" w:eastAsia="Arial" w:hAnsi="Arial" w:cs="Arial"/>
                <w:color w:val="000000"/>
                <w:sz w:val="20"/>
              </w:rPr>
              <w:tab/>
            </w:r>
          </w:p>
        </w:tc>
      </w:tr>
      <w:tr w:rsidR="006E60EE" w14:paraId="5E1FCC45"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7C7AB560" w14:textId="77777777" w:rsidR="006E60EE" w:rsidRDefault="004E2592">
            <w:pPr>
              <w:keepNext/>
              <w:spacing w:before="65" w:after="20"/>
              <w:ind w:left="240"/>
            </w:pPr>
            <w:r>
              <w:rPr>
                <w:rFonts w:ascii="Arial" w:eastAsia="Arial" w:hAnsi="Arial" w:cs="Arial"/>
                <w:color w:val="000000"/>
                <w:sz w:val="20"/>
              </w:rPr>
              <w:t>Acquisition-related and other</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A8D214F" w14:textId="77777777" w:rsidR="006E60EE" w:rsidRDefault="004E2592">
            <w:pPr>
              <w:keepNext/>
              <w:tabs>
                <w:tab w:val="left" w:pos="1"/>
                <w:tab w:val="left" w:pos="522"/>
              </w:tabs>
              <w:spacing w:before="65" w:after="20"/>
              <w:jc w:val="right"/>
            </w:pPr>
            <w:r>
              <w:rPr>
                <w:rFonts w:ascii="Arial" w:eastAsia="Arial" w:hAnsi="Arial" w:cs="Arial"/>
                <w:color w:val="000000"/>
                <w:sz w:val="20"/>
              </w:rPr>
              <w:tab/>
              <w:t>0.2%</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34389DF"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0D165D" w14:textId="77777777" w:rsidR="006E60EE" w:rsidRDefault="004E2592">
            <w:pPr>
              <w:keepNext/>
              <w:tabs>
                <w:tab w:val="left" w:pos="1"/>
                <w:tab w:val="left" w:pos="522"/>
              </w:tabs>
              <w:spacing w:before="65" w:after="20"/>
              <w:jc w:val="right"/>
            </w:pPr>
            <w:r>
              <w:rPr>
                <w:rFonts w:ascii="Arial" w:eastAsia="Arial" w:hAnsi="Arial" w:cs="Arial"/>
                <w:color w:val="000000"/>
                <w:sz w:val="20"/>
              </w:rPr>
              <w:tab/>
              <w:t>0.6%</w:t>
            </w:r>
            <w:r>
              <w:rPr>
                <w:rFonts w:ascii="Arial" w:eastAsia="Arial" w:hAnsi="Arial" w:cs="Arial"/>
                <w:color w:val="000000"/>
                <w:sz w:val="20"/>
              </w:rPr>
              <w:tab/>
            </w:r>
          </w:p>
        </w:tc>
      </w:tr>
      <w:tr w:rsidR="006E60EE" w14:paraId="2EEB3812"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04EC4EC8" w14:textId="77777777" w:rsidR="006E60EE" w:rsidRDefault="004E2592">
            <w:pPr>
              <w:spacing w:before="45" w:after="20"/>
              <w:ind w:left="240"/>
            </w:pPr>
            <w:r>
              <w:rPr>
                <w:rFonts w:ascii="Arial" w:eastAsia="Arial" w:hAnsi="Arial" w:cs="Arial"/>
                <w:b/>
                <w:i/>
                <w:color w:val="000000"/>
                <w:sz w:val="20"/>
              </w:rPr>
              <w:t>Adjusted EBITDA margin</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8970EB8" w14:textId="77777777" w:rsidR="006E60EE" w:rsidRDefault="004E2592">
            <w:pPr>
              <w:tabs>
                <w:tab w:val="left" w:pos="1"/>
                <w:tab w:val="left" w:pos="633"/>
              </w:tabs>
              <w:spacing w:before="45" w:after="20"/>
              <w:jc w:val="right"/>
            </w:pPr>
            <w:r>
              <w:rPr>
                <w:rFonts w:ascii="Arial" w:eastAsia="Arial" w:hAnsi="Arial" w:cs="Arial"/>
                <w:color w:val="000000"/>
                <w:sz w:val="20"/>
              </w:rPr>
              <w:tab/>
              <w:t>12.3%</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1C8E4C" w14:textId="77777777" w:rsidR="006E60EE" w:rsidRDefault="006E60EE"/>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08BD15A" w14:textId="77777777" w:rsidR="006E60EE" w:rsidRDefault="004E2592">
            <w:pPr>
              <w:tabs>
                <w:tab w:val="left" w:pos="1"/>
                <w:tab w:val="left" w:pos="633"/>
              </w:tabs>
              <w:spacing w:before="45" w:after="20"/>
              <w:jc w:val="right"/>
            </w:pPr>
            <w:r>
              <w:rPr>
                <w:rFonts w:ascii="Arial" w:eastAsia="Arial" w:hAnsi="Arial" w:cs="Arial"/>
                <w:color w:val="000000"/>
                <w:sz w:val="20"/>
              </w:rPr>
              <w:tab/>
              <w:t>20.6%</w:t>
            </w:r>
            <w:r>
              <w:rPr>
                <w:rFonts w:ascii="Arial" w:eastAsia="Arial" w:hAnsi="Arial" w:cs="Arial"/>
                <w:color w:val="000000"/>
                <w:sz w:val="20"/>
              </w:rPr>
              <w:tab/>
            </w:r>
          </w:p>
        </w:tc>
      </w:tr>
    </w:tbl>
    <w:p w14:paraId="10D2E43B" w14:textId="77777777" w:rsidR="006E60EE" w:rsidRDefault="006E60EE">
      <w:pPr>
        <w:spacing w:before="200" w:line="288" w:lineRule="auto"/>
        <w:jc w:val="center"/>
        <w:rPr>
          <w:rFonts w:ascii="Arial" w:eastAsia="Arial" w:hAnsi="Arial" w:cs="Arial"/>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5"/>
        <w:gridCol w:w="1305"/>
        <w:gridCol w:w="60"/>
        <w:gridCol w:w="1305"/>
      </w:tblGrid>
      <w:tr w:rsidR="006E60EE" w14:paraId="1A7218FF" w14:textId="77777777">
        <w:trPr>
          <w:cantSplit/>
          <w:jc w:val="center"/>
        </w:trPr>
        <w:tc>
          <w:tcPr>
            <w:tcW w:w="7185" w:type="dxa"/>
            <w:tcBorders>
              <w:top w:val="nil"/>
              <w:left w:val="nil"/>
              <w:bottom w:val="nil"/>
              <w:right w:val="nil"/>
            </w:tcBorders>
            <w:tcMar>
              <w:top w:w="0" w:type="dxa"/>
              <w:left w:w="53" w:type="dxa"/>
              <w:bottom w:w="0" w:type="dxa"/>
              <w:right w:w="53" w:type="dxa"/>
            </w:tcMar>
            <w:vAlign w:val="bottom"/>
          </w:tcPr>
          <w:p w14:paraId="058A6F2C" w14:textId="77777777" w:rsidR="006E60EE" w:rsidRDefault="004E2592">
            <w:pPr>
              <w:keepNext/>
              <w:spacing w:before="65" w:after="20"/>
            </w:pPr>
            <w:r>
              <w:rPr>
                <w:rFonts w:ascii="Arial" w:eastAsia="Arial" w:hAnsi="Arial" w:cs="Arial"/>
                <w:b/>
                <w:i/>
                <w:color w:val="000000"/>
                <w:sz w:val="20"/>
              </w:rPr>
              <w:t>GAAP Gross margin</w:t>
            </w:r>
          </w:p>
        </w:tc>
        <w:tc>
          <w:tcPr>
            <w:tcW w:w="1305" w:type="dxa"/>
            <w:tcBorders>
              <w:top w:val="nil"/>
              <w:left w:val="nil"/>
              <w:bottom w:val="nil"/>
              <w:right w:val="nil"/>
            </w:tcBorders>
            <w:tcMar>
              <w:top w:w="0" w:type="dxa"/>
              <w:left w:w="0" w:type="dxa"/>
              <w:bottom w:w="0" w:type="dxa"/>
              <w:right w:w="15" w:type="dxa"/>
            </w:tcMar>
            <w:vAlign w:val="bottom"/>
          </w:tcPr>
          <w:p w14:paraId="2AD7A641" w14:textId="77777777" w:rsidR="006E60EE" w:rsidRDefault="004E2592">
            <w:pPr>
              <w:keepNext/>
              <w:tabs>
                <w:tab w:val="left" w:pos="1"/>
                <w:tab w:val="left" w:pos="458"/>
              </w:tabs>
              <w:spacing w:before="65" w:after="20"/>
              <w:jc w:val="right"/>
            </w:pPr>
            <w:r>
              <w:rPr>
                <w:rFonts w:ascii="Arial" w:eastAsia="Arial" w:hAnsi="Arial" w:cs="Arial"/>
                <w:color w:val="000000"/>
                <w:sz w:val="20"/>
              </w:rPr>
              <w:tab/>
              <w:t>43.4</w:t>
            </w:r>
            <w:r>
              <w:rPr>
                <w:rFonts w:ascii="Arial" w:eastAsia="Arial" w:hAnsi="Arial" w:cs="Arial"/>
                <w:color w:val="000000"/>
                <w:sz w:val="20"/>
              </w:rPr>
              <w:tab/>
              <w:t>%</w:t>
            </w:r>
          </w:p>
        </w:tc>
        <w:tc>
          <w:tcPr>
            <w:tcW w:w="60" w:type="dxa"/>
            <w:tcBorders>
              <w:top w:val="nil"/>
              <w:left w:val="nil"/>
              <w:bottom w:val="nil"/>
              <w:right w:val="nil"/>
            </w:tcBorders>
            <w:tcMar>
              <w:top w:w="0" w:type="dxa"/>
              <w:left w:w="0" w:type="dxa"/>
              <w:bottom w:w="0" w:type="dxa"/>
              <w:right w:w="0" w:type="dxa"/>
            </w:tcMar>
            <w:vAlign w:val="bottom"/>
          </w:tcPr>
          <w:p w14:paraId="2E11D917" w14:textId="77777777" w:rsidR="006E60EE" w:rsidRDefault="006E60EE">
            <w:pPr>
              <w:keepNext/>
            </w:pPr>
          </w:p>
        </w:tc>
        <w:tc>
          <w:tcPr>
            <w:tcW w:w="1305" w:type="dxa"/>
            <w:tcBorders>
              <w:top w:val="nil"/>
              <w:left w:val="nil"/>
              <w:bottom w:val="nil"/>
              <w:right w:val="nil"/>
            </w:tcBorders>
            <w:tcMar>
              <w:top w:w="0" w:type="dxa"/>
              <w:left w:w="0" w:type="dxa"/>
              <w:bottom w:w="0" w:type="dxa"/>
              <w:right w:w="15" w:type="dxa"/>
            </w:tcMar>
            <w:vAlign w:val="bottom"/>
          </w:tcPr>
          <w:p w14:paraId="7DC21A26" w14:textId="77777777" w:rsidR="006E60EE" w:rsidRDefault="004E2592">
            <w:pPr>
              <w:keepNext/>
              <w:tabs>
                <w:tab w:val="left" w:pos="1"/>
                <w:tab w:val="left" w:pos="458"/>
              </w:tabs>
              <w:spacing w:before="65" w:after="20"/>
              <w:jc w:val="right"/>
            </w:pPr>
            <w:r>
              <w:rPr>
                <w:rFonts w:ascii="Arial" w:eastAsia="Arial" w:hAnsi="Arial" w:cs="Arial"/>
                <w:color w:val="000000"/>
                <w:sz w:val="20"/>
              </w:rPr>
              <w:tab/>
              <w:t>44.8</w:t>
            </w:r>
            <w:r>
              <w:rPr>
                <w:rFonts w:ascii="Arial" w:eastAsia="Arial" w:hAnsi="Arial" w:cs="Arial"/>
                <w:color w:val="000000"/>
                <w:sz w:val="20"/>
              </w:rPr>
              <w:tab/>
              <w:t>%</w:t>
            </w:r>
          </w:p>
        </w:tc>
      </w:tr>
      <w:tr w:rsidR="006E60EE" w14:paraId="141F377C" w14:textId="77777777">
        <w:trPr>
          <w:cantSplit/>
          <w:trHeight w:hRule="exact" w:val="300"/>
          <w:jc w:val="center"/>
        </w:trPr>
        <w:tc>
          <w:tcPr>
            <w:tcW w:w="7185" w:type="dxa"/>
            <w:tcBorders>
              <w:top w:val="nil"/>
              <w:left w:val="nil"/>
              <w:bottom w:val="nil"/>
              <w:right w:val="nil"/>
            </w:tcBorders>
            <w:shd w:val="clear" w:color="auto" w:fill="CCEEFF"/>
            <w:tcMar>
              <w:top w:w="0" w:type="dxa"/>
              <w:left w:w="53" w:type="dxa"/>
              <w:bottom w:w="0" w:type="dxa"/>
              <w:right w:w="53" w:type="dxa"/>
            </w:tcMar>
            <w:vAlign w:val="bottom"/>
          </w:tcPr>
          <w:p w14:paraId="2635A569" w14:textId="77777777" w:rsidR="006E60EE" w:rsidRDefault="004E2592">
            <w:pPr>
              <w:keepNext/>
              <w:spacing w:before="75" w:after="30"/>
            </w:pPr>
            <w:r>
              <w:rPr>
                <w:rFonts w:ascii="Arial" w:eastAsia="Arial" w:hAnsi="Arial" w:cs="Arial"/>
                <w:color w:val="000000"/>
                <w:sz w:val="20"/>
              </w:rPr>
              <w:t>Amortization of acquired intangible assets</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3177E84" w14:textId="77777777" w:rsidR="006E60EE" w:rsidRDefault="004E2592">
            <w:pPr>
              <w:keepNext/>
              <w:tabs>
                <w:tab w:val="left" w:pos="1"/>
                <w:tab w:val="left" w:pos="347"/>
              </w:tabs>
              <w:spacing w:before="75" w:after="30"/>
              <w:jc w:val="right"/>
            </w:pPr>
            <w:r>
              <w:rPr>
                <w:rFonts w:ascii="Arial" w:eastAsia="Arial" w:hAnsi="Arial" w:cs="Arial"/>
                <w:color w:val="000000"/>
                <w:sz w:val="20"/>
              </w:rPr>
              <w:tab/>
              <w:t>0.4</w:t>
            </w:r>
            <w:r>
              <w:rPr>
                <w:rFonts w:ascii="Arial" w:eastAsia="Arial" w:hAnsi="Arial" w:cs="Arial"/>
                <w:color w:val="000000"/>
                <w:sz w:val="20"/>
              </w:rPr>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5D71D5" w14:textId="77777777" w:rsidR="006E60EE" w:rsidRDefault="006E60EE">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6E4D72B" w14:textId="77777777" w:rsidR="006E60EE" w:rsidRDefault="004E2592">
            <w:pPr>
              <w:keepNext/>
              <w:tabs>
                <w:tab w:val="left" w:pos="1"/>
                <w:tab w:val="left" w:pos="347"/>
              </w:tabs>
              <w:spacing w:before="75" w:after="30"/>
              <w:jc w:val="right"/>
            </w:pPr>
            <w:r>
              <w:rPr>
                <w:rFonts w:ascii="Arial" w:eastAsia="Arial" w:hAnsi="Arial" w:cs="Arial"/>
                <w:color w:val="000000"/>
                <w:sz w:val="20"/>
              </w:rPr>
              <w:tab/>
              <w:t>0.8</w:t>
            </w:r>
            <w:r>
              <w:rPr>
                <w:rFonts w:ascii="Arial" w:eastAsia="Arial" w:hAnsi="Arial" w:cs="Arial"/>
                <w:color w:val="000000"/>
                <w:sz w:val="20"/>
              </w:rPr>
              <w:tab/>
              <w:t>%</w:t>
            </w:r>
          </w:p>
        </w:tc>
      </w:tr>
      <w:tr w:rsidR="006E60EE" w14:paraId="556D79C7" w14:textId="77777777">
        <w:trPr>
          <w:cantSplit/>
          <w:jc w:val="center"/>
        </w:trPr>
        <w:tc>
          <w:tcPr>
            <w:tcW w:w="7185" w:type="dxa"/>
            <w:tcBorders>
              <w:top w:val="nil"/>
              <w:left w:val="nil"/>
              <w:bottom w:val="nil"/>
              <w:right w:val="nil"/>
            </w:tcBorders>
            <w:shd w:val="clear" w:color="auto" w:fill="FFFFFF"/>
            <w:tcMar>
              <w:top w:w="0" w:type="dxa"/>
              <w:left w:w="53" w:type="dxa"/>
              <w:bottom w:w="0" w:type="dxa"/>
              <w:right w:w="53" w:type="dxa"/>
            </w:tcMar>
            <w:vAlign w:val="bottom"/>
          </w:tcPr>
          <w:p w14:paraId="0CA03FA1" w14:textId="77777777" w:rsidR="006E60EE" w:rsidRDefault="004E2592">
            <w:pPr>
              <w:spacing w:before="45" w:after="20"/>
            </w:pPr>
            <w:r>
              <w:rPr>
                <w:rFonts w:ascii="Arial" w:eastAsia="Arial" w:hAnsi="Arial" w:cs="Arial"/>
                <w:b/>
                <w:i/>
                <w:color w:val="000000"/>
                <w:sz w:val="20"/>
              </w:rPr>
              <w:t>Non-GAAP Gross margin</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AB5C413" w14:textId="77777777" w:rsidR="006E60EE" w:rsidRDefault="004E2592">
            <w:pPr>
              <w:tabs>
                <w:tab w:val="left" w:pos="1"/>
                <w:tab w:val="left" w:pos="458"/>
              </w:tabs>
              <w:spacing w:before="45" w:after="20"/>
              <w:jc w:val="right"/>
            </w:pPr>
            <w:r>
              <w:rPr>
                <w:rFonts w:ascii="Arial" w:eastAsia="Arial" w:hAnsi="Arial" w:cs="Arial"/>
                <w:color w:val="000000"/>
                <w:sz w:val="20"/>
              </w:rPr>
              <w:tab/>
              <w:t>43.8</w:t>
            </w:r>
            <w:r>
              <w:rPr>
                <w:rFonts w:ascii="Arial" w:eastAsia="Arial" w:hAnsi="Arial" w:cs="Arial"/>
                <w:color w:val="000000"/>
                <w:sz w:val="20"/>
              </w:rPr>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A2FFCC6" w14:textId="77777777" w:rsidR="006E60EE" w:rsidRDefault="006E60EE"/>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E00F2C0" w14:textId="77777777" w:rsidR="006E60EE" w:rsidRDefault="004E2592">
            <w:pPr>
              <w:tabs>
                <w:tab w:val="left" w:pos="1"/>
                <w:tab w:val="left" w:pos="458"/>
              </w:tabs>
              <w:spacing w:before="45" w:after="20"/>
              <w:jc w:val="right"/>
            </w:pPr>
            <w:r>
              <w:rPr>
                <w:rFonts w:ascii="Arial" w:eastAsia="Arial" w:hAnsi="Arial" w:cs="Arial"/>
                <w:color w:val="000000"/>
                <w:sz w:val="20"/>
              </w:rPr>
              <w:tab/>
              <w:t>45.6</w:t>
            </w:r>
            <w:r>
              <w:rPr>
                <w:rFonts w:ascii="Arial" w:eastAsia="Arial" w:hAnsi="Arial" w:cs="Arial"/>
                <w:color w:val="000000"/>
                <w:sz w:val="20"/>
              </w:rPr>
              <w:tab/>
              <w:t>%</w:t>
            </w:r>
          </w:p>
        </w:tc>
      </w:tr>
    </w:tbl>
    <w:p w14:paraId="63E5B2D0" w14:textId="77777777" w:rsidR="006E60EE" w:rsidRDefault="006E60EE">
      <w:pPr>
        <w:spacing w:line="288" w:lineRule="auto"/>
        <w:rPr>
          <w:rFonts w:ascii="Arial" w:eastAsia="Arial" w:hAnsi="Arial" w:cs="Arial"/>
          <w:sz w:val="20"/>
        </w:rPr>
      </w:pPr>
    </w:p>
    <w:p w14:paraId="7E09C880" w14:textId="77777777" w:rsidR="006E60EE" w:rsidRDefault="006E60EE">
      <w:pPr>
        <w:spacing w:line="288" w:lineRule="auto"/>
        <w:rPr>
          <w:rFonts w:ascii="Arial" w:eastAsia="Arial" w:hAnsi="Arial" w:cs="Arial"/>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05"/>
        <w:gridCol w:w="60"/>
        <w:gridCol w:w="1305"/>
      </w:tblGrid>
      <w:tr w:rsidR="006E60EE" w14:paraId="4942D938"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585DC8C4" w14:textId="77777777" w:rsidR="006E60EE" w:rsidRDefault="004E2592">
            <w:pPr>
              <w:keepNext/>
              <w:spacing w:before="65" w:after="20"/>
            </w:pPr>
            <w:r>
              <w:rPr>
                <w:rFonts w:ascii="Arial" w:eastAsia="Arial" w:hAnsi="Arial" w:cs="Arial"/>
                <w:b/>
                <w:i/>
                <w:color w:val="000000"/>
                <w:sz w:val="20"/>
              </w:rPr>
              <w:t>GAAP Net loss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0EBE132" w14:textId="77777777" w:rsidR="006E60EE" w:rsidRDefault="004E2592">
            <w:pPr>
              <w:keepNext/>
              <w:tabs>
                <w:tab w:val="left" w:pos="585"/>
              </w:tabs>
              <w:spacing w:before="65" w:after="20"/>
              <w:jc w:val="right"/>
            </w:pPr>
            <w:r>
              <w:rPr>
                <w:rFonts w:ascii="Arial" w:eastAsia="Arial" w:hAnsi="Arial" w:cs="Arial"/>
                <w:color w:val="000000"/>
                <w:sz w:val="20"/>
              </w:rPr>
              <w:t>$</w:t>
            </w:r>
            <w:r>
              <w:rPr>
                <w:rFonts w:ascii="Arial" w:eastAsia="Arial" w:hAnsi="Arial" w:cs="Arial"/>
                <w:color w:val="000000"/>
                <w:sz w:val="20"/>
              </w:rPr>
              <w:tab/>
              <w:t>(1,292)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42AF46A"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4EEF314B" w14:textId="77777777" w:rsidR="006E60EE" w:rsidRDefault="004E2592">
            <w:pPr>
              <w:keepNext/>
              <w:tabs>
                <w:tab w:val="left" w:pos="752"/>
              </w:tabs>
              <w:spacing w:before="65" w:after="20"/>
              <w:jc w:val="right"/>
            </w:pPr>
            <w:r>
              <w:rPr>
                <w:rFonts w:ascii="Arial" w:eastAsia="Arial" w:hAnsi="Arial" w:cs="Arial"/>
                <w:color w:val="000000"/>
                <w:sz w:val="20"/>
              </w:rPr>
              <w:t>$</w:t>
            </w:r>
            <w:r>
              <w:rPr>
                <w:rFonts w:ascii="Arial" w:eastAsia="Arial" w:hAnsi="Arial" w:cs="Arial"/>
                <w:color w:val="000000"/>
                <w:sz w:val="20"/>
              </w:rPr>
              <w:tab/>
              <w:t>(664)</w:t>
            </w:r>
          </w:p>
        </w:tc>
      </w:tr>
      <w:tr w:rsidR="006E60EE" w14:paraId="6AD15FF0" w14:textId="77777777">
        <w:trPr>
          <w:cantSplit/>
          <w:trHeight w:hRule="exact" w:val="300"/>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2494246B" w14:textId="77777777" w:rsidR="006E60EE" w:rsidRDefault="004E2592">
            <w:pPr>
              <w:keepNext/>
              <w:spacing w:before="75" w:after="30"/>
            </w:pPr>
            <w:r>
              <w:rPr>
                <w:rFonts w:ascii="Arial" w:eastAsia="Arial" w:hAnsi="Arial" w:cs="Arial"/>
                <w:color w:val="000000"/>
                <w:sz w:val="20"/>
              </w:rPr>
              <w:t>Amortization of acquired intangible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245E600" w14:textId="77777777" w:rsidR="006E60EE" w:rsidRDefault="004E2592">
            <w:pPr>
              <w:keepNext/>
              <w:tabs>
                <w:tab w:val="left" w:pos="839"/>
                <w:tab w:val="left" w:pos="1237"/>
              </w:tabs>
              <w:spacing w:before="75" w:after="30"/>
              <w:jc w:val="right"/>
            </w:pPr>
            <w:r>
              <w:rPr>
                <w:rFonts w:ascii="Arial" w:eastAsia="Arial" w:hAnsi="Arial" w:cs="Arial"/>
                <w:color w:val="000000"/>
                <w:sz w:val="20"/>
              </w:rPr>
              <w:tab/>
              <w:t>374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E9572A1"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65B6228" w14:textId="77777777" w:rsidR="006E60EE" w:rsidRDefault="004E2592">
            <w:pPr>
              <w:keepNext/>
              <w:tabs>
                <w:tab w:val="left" w:pos="839"/>
                <w:tab w:val="left" w:pos="1237"/>
              </w:tabs>
              <w:spacing w:before="75" w:after="30"/>
              <w:jc w:val="right"/>
            </w:pPr>
            <w:r>
              <w:rPr>
                <w:rFonts w:ascii="Arial" w:eastAsia="Arial" w:hAnsi="Arial" w:cs="Arial"/>
                <w:color w:val="000000"/>
                <w:sz w:val="20"/>
              </w:rPr>
              <w:tab/>
              <w:t>557</w:t>
            </w:r>
            <w:r>
              <w:rPr>
                <w:rFonts w:ascii="Arial" w:eastAsia="Arial" w:hAnsi="Arial" w:cs="Arial"/>
                <w:color w:val="000000"/>
                <w:sz w:val="20"/>
              </w:rPr>
              <w:tab/>
            </w:r>
          </w:p>
        </w:tc>
      </w:tr>
      <w:tr w:rsidR="006E60EE" w14:paraId="48D4B9DC"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7D5A57FF" w14:textId="77777777" w:rsidR="006E60EE" w:rsidRDefault="004E2592">
            <w:pPr>
              <w:keepNext/>
              <w:spacing w:before="65" w:after="20"/>
            </w:pPr>
            <w:r>
              <w:rPr>
                <w:rFonts w:ascii="Arial" w:eastAsia="Arial" w:hAnsi="Arial" w:cs="Arial"/>
                <w:color w:val="000000"/>
                <w:sz w:val="20"/>
              </w:rPr>
              <w:t>Stock-based compensation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DEEBB5D" w14:textId="77777777" w:rsidR="006E60EE" w:rsidRDefault="004E2592">
            <w:pPr>
              <w:keepNext/>
              <w:tabs>
                <w:tab w:val="left" w:pos="839"/>
                <w:tab w:val="left" w:pos="1237"/>
              </w:tabs>
              <w:spacing w:before="65" w:after="20"/>
              <w:jc w:val="right"/>
            </w:pPr>
            <w:r>
              <w:rPr>
                <w:rFonts w:ascii="Arial" w:eastAsia="Arial" w:hAnsi="Arial" w:cs="Arial"/>
                <w:color w:val="000000"/>
                <w:sz w:val="20"/>
              </w:rPr>
              <w:tab/>
              <w:t>244</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969DA7" w14:textId="77777777" w:rsidR="006E60EE" w:rsidRDefault="006E60EE">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F2AD25B" w14:textId="77777777" w:rsidR="006E60EE" w:rsidRDefault="004E2592">
            <w:pPr>
              <w:keepNext/>
              <w:tabs>
                <w:tab w:val="left" w:pos="839"/>
                <w:tab w:val="left" w:pos="1237"/>
              </w:tabs>
              <w:spacing w:before="65" w:after="20"/>
              <w:jc w:val="right"/>
            </w:pPr>
            <w:r>
              <w:rPr>
                <w:rFonts w:ascii="Arial" w:eastAsia="Arial" w:hAnsi="Arial" w:cs="Arial"/>
                <w:color w:val="000000"/>
                <w:sz w:val="20"/>
              </w:rPr>
              <w:tab/>
              <w:t>206</w:t>
            </w:r>
            <w:r>
              <w:rPr>
                <w:rFonts w:ascii="Arial" w:eastAsia="Arial" w:hAnsi="Arial" w:cs="Arial"/>
                <w:color w:val="000000"/>
                <w:sz w:val="20"/>
              </w:rPr>
              <w:tab/>
            </w:r>
          </w:p>
        </w:tc>
      </w:tr>
      <w:tr w:rsidR="006E60EE" w14:paraId="6D3B8649" w14:textId="77777777">
        <w:trPr>
          <w:cantSplit/>
        </w:trPr>
        <w:tc>
          <w:tcPr>
            <w:tcW w:w="7230" w:type="dxa"/>
            <w:tcBorders>
              <w:top w:val="nil"/>
              <w:left w:val="nil"/>
              <w:bottom w:val="nil"/>
              <w:right w:val="nil"/>
            </w:tcBorders>
            <w:shd w:val="clear" w:color="auto" w:fill="FFFFFF"/>
            <w:tcMar>
              <w:top w:w="0" w:type="dxa"/>
              <w:left w:w="53" w:type="dxa"/>
              <w:bottom w:w="0" w:type="dxa"/>
              <w:right w:w="53" w:type="dxa"/>
            </w:tcMar>
            <w:vAlign w:val="bottom"/>
          </w:tcPr>
          <w:p w14:paraId="23EB0DBB" w14:textId="77777777" w:rsidR="006E60EE" w:rsidRDefault="004E2592">
            <w:pPr>
              <w:keepNext/>
              <w:spacing w:before="65" w:after="20"/>
            </w:pPr>
            <w:r>
              <w:rPr>
                <w:rFonts w:ascii="Arial" w:eastAsia="Arial" w:hAnsi="Arial" w:cs="Arial"/>
                <w:color w:val="000000"/>
                <w:sz w:val="20"/>
              </w:rPr>
              <w:t>Acquisition-related and other</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7A8C7D" w14:textId="77777777" w:rsidR="006E60EE" w:rsidRDefault="004E2592">
            <w:pPr>
              <w:keepNext/>
              <w:tabs>
                <w:tab w:val="left" w:pos="950"/>
                <w:tab w:val="left" w:pos="1237"/>
              </w:tabs>
              <w:spacing w:before="65" w:after="20"/>
              <w:jc w:val="right"/>
            </w:pPr>
            <w:r>
              <w:rPr>
                <w:rFonts w:ascii="Arial" w:eastAsia="Arial" w:hAnsi="Arial" w:cs="Arial"/>
                <w:color w:val="000000"/>
                <w:sz w:val="20"/>
              </w:rPr>
              <w:tab/>
              <w:t>84</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76C4ACF" w14:textId="77777777" w:rsidR="006E60EE" w:rsidRDefault="006E60EE">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7ED845" w14:textId="77777777" w:rsidR="006E60EE" w:rsidRDefault="004E2592">
            <w:pPr>
              <w:keepNext/>
              <w:tabs>
                <w:tab w:val="left" w:pos="839"/>
                <w:tab w:val="left" w:pos="1237"/>
              </w:tabs>
              <w:spacing w:before="65" w:after="20"/>
              <w:jc w:val="right"/>
            </w:pPr>
            <w:r>
              <w:rPr>
                <w:rFonts w:ascii="Arial" w:eastAsia="Arial" w:hAnsi="Arial" w:cs="Arial"/>
                <w:color w:val="000000"/>
                <w:sz w:val="20"/>
              </w:rPr>
              <w:tab/>
              <w:t>190</w:t>
            </w:r>
            <w:r>
              <w:rPr>
                <w:rFonts w:ascii="Arial" w:eastAsia="Arial" w:hAnsi="Arial" w:cs="Arial"/>
                <w:color w:val="000000"/>
                <w:sz w:val="20"/>
              </w:rPr>
              <w:tab/>
            </w:r>
          </w:p>
        </w:tc>
      </w:tr>
      <w:tr w:rsidR="006E60EE" w14:paraId="5AC4F502" w14:textId="77777777">
        <w:trPr>
          <w:cantSplit/>
        </w:trPr>
        <w:tc>
          <w:tcPr>
            <w:tcW w:w="7230" w:type="dxa"/>
            <w:tcBorders>
              <w:top w:val="nil"/>
              <w:left w:val="nil"/>
              <w:bottom w:val="nil"/>
              <w:right w:val="nil"/>
            </w:tcBorders>
            <w:shd w:val="clear" w:color="auto" w:fill="CCEEFF"/>
            <w:tcMar>
              <w:top w:w="0" w:type="dxa"/>
              <w:left w:w="53" w:type="dxa"/>
              <w:bottom w:w="0" w:type="dxa"/>
              <w:right w:w="53" w:type="dxa"/>
            </w:tcMar>
            <w:vAlign w:val="bottom"/>
          </w:tcPr>
          <w:p w14:paraId="1F9B99B4" w14:textId="77777777" w:rsidR="006E60EE" w:rsidRDefault="004E2592">
            <w:pPr>
              <w:spacing w:before="45" w:after="20"/>
            </w:pPr>
            <w:r>
              <w:rPr>
                <w:rFonts w:ascii="Arial" w:eastAsia="Arial" w:hAnsi="Arial" w:cs="Arial"/>
                <w:b/>
                <w:i/>
                <w:color w:val="000000"/>
                <w:sz w:val="20"/>
              </w:rPr>
              <w:t>Non-GAAP Net (loss) income</w:t>
            </w:r>
          </w:p>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F64598C" w14:textId="77777777" w:rsidR="006E60EE" w:rsidRDefault="004E2592">
            <w:pPr>
              <w:tabs>
                <w:tab w:val="left" w:pos="752"/>
              </w:tabs>
              <w:spacing w:before="45" w:after="20"/>
              <w:jc w:val="right"/>
            </w:pPr>
            <w:r>
              <w:rPr>
                <w:rFonts w:ascii="Arial" w:eastAsia="Arial" w:hAnsi="Arial" w:cs="Arial"/>
                <w:color w:val="000000"/>
                <w:sz w:val="20"/>
              </w:rPr>
              <w:t>$</w:t>
            </w:r>
            <w:r>
              <w:rPr>
                <w:rFonts w:ascii="Arial" w:eastAsia="Arial" w:hAnsi="Arial" w:cs="Arial"/>
                <w:color w:val="000000"/>
                <w:sz w:val="20"/>
              </w:rPr>
              <w:tab/>
              <w:t>(590)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7CC0A74" w14:textId="77777777" w:rsidR="006E60EE" w:rsidRDefault="006E60EE"/>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9B9DFA1" w14:textId="77777777" w:rsidR="006E60EE" w:rsidRDefault="004E2592">
            <w:pPr>
              <w:tabs>
                <w:tab w:val="left" w:pos="839"/>
                <w:tab w:val="left" w:pos="1237"/>
              </w:tabs>
              <w:spacing w:before="45" w:after="20"/>
              <w:jc w:val="right"/>
            </w:pPr>
            <w:r>
              <w:rPr>
                <w:rFonts w:ascii="Arial" w:eastAsia="Arial" w:hAnsi="Arial" w:cs="Arial"/>
                <w:color w:val="000000"/>
                <w:sz w:val="20"/>
              </w:rPr>
              <w:t>$</w:t>
            </w:r>
            <w:r>
              <w:rPr>
                <w:rFonts w:ascii="Arial" w:eastAsia="Arial" w:hAnsi="Arial" w:cs="Arial"/>
                <w:color w:val="000000"/>
                <w:sz w:val="20"/>
              </w:rPr>
              <w:tab/>
              <w:t>289</w:t>
            </w:r>
            <w:r>
              <w:rPr>
                <w:rFonts w:ascii="Arial" w:eastAsia="Arial" w:hAnsi="Arial" w:cs="Arial"/>
                <w:color w:val="000000"/>
                <w:sz w:val="20"/>
              </w:rPr>
              <w:tab/>
            </w:r>
          </w:p>
        </w:tc>
      </w:tr>
    </w:tbl>
    <w:p w14:paraId="50F83F8B" w14:textId="77777777" w:rsidR="006E60EE" w:rsidRDefault="006E60EE">
      <w:pPr>
        <w:spacing w:line="288" w:lineRule="auto"/>
        <w:rPr>
          <w:rFonts w:ascii="Arial" w:eastAsia="Arial" w:hAnsi="Arial" w:cs="Arial"/>
          <w:sz w:val="2"/>
        </w:rPr>
      </w:pPr>
    </w:p>
    <w:p w14:paraId="5EAA8DF6" w14:textId="77777777" w:rsidR="006E60EE" w:rsidRDefault="006E60EE">
      <w:pPr>
        <w:spacing w:line="288" w:lineRule="auto"/>
        <w:rPr>
          <w:rFonts w:ascii="Arial" w:eastAsia="Arial" w:hAnsi="Arial" w:cs="Arial"/>
          <w:sz w:val="2"/>
        </w:rPr>
        <w:sectPr w:rsidR="006E60EE" w:rsidSect="00CD06A6">
          <w:pgSz w:w="12240" w:h="15840"/>
          <w:pgMar w:top="900" w:right="1170" w:bottom="900" w:left="1170" w:header="0" w:footer="0" w:gutter="0"/>
          <w:cols w:space="708"/>
        </w:sectPr>
      </w:pPr>
    </w:p>
    <w:p w14:paraId="501507BC" w14:textId="77777777" w:rsidR="006E60EE" w:rsidRDefault="004E2592">
      <w:pPr>
        <w:keepNext/>
        <w:spacing w:line="288" w:lineRule="auto"/>
        <w:jc w:val="center"/>
        <w:outlineLvl w:val="1"/>
        <w:rPr>
          <w:rFonts w:ascii="Arial" w:eastAsia="Arial" w:hAnsi="Arial" w:cs="Arial"/>
          <w:sz w:val="20"/>
        </w:rPr>
      </w:pPr>
      <w:bookmarkStart w:id="4" w:name="Section6"/>
      <w:bookmarkEnd w:id="4"/>
      <w:r>
        <w:rPr>
          <w:rFonts w:ascii="Arial" w:eastAsia="Arial" w:hAnsi="Arial" w:cs="Arial"/>
          <w:sz w:val="20"/>
        </w:rPr>
        <w:lastRenderedPageBreak/>
        <w:t>MariMed Inc.</w:t>
      </w:r>
    </w:p>
    <w:p w14:paraId="51D68A51"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Supplemental Information</w:t>
      </w:r>
    </w:p>
    <w:p w14:paraId="2E852928"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Revenue Components</w:t>
      </w:r>
    </w:p>
    <w:p w14:paraId="4588B44E" w14:textId="77777777" w:rsidR="006E60EE" w:rsidRDefault="004E2592">
      <w:pPr>
        <w:keepNext/>
        <w:spacing w:line="288" w:lineRule="auto"/>
        <w:jc w:val="center"/>
        <w:rPr>
          <w:rFonts w:ascii="Arial" w:eastAsia="Arial" w:hAnsi="Arial" w:cs="Arial"/>
          <w:sz w:val="20"/>
        </w:rPr>
      </w:pPr>
      <w:r>
        <w:rPr>
          <w:rFonts w:ascii="Arial" w:eastAsia="Arial" w:hAnsi="Arial" w:cs="Arial"/>
          <w:sz w:val="20"/>
        </w:rPr>
        <w:t>(in thousands)</w:t>
      </w:r>
    </w:p>
    <w:p w14:paraId="2879E6D5" w14:textId="77777777" w:rsidR="006E60EE" w:rsidRDefault="004E2592">
      <w:pPr>
        <w:keepNext/>
        <w:spacing w:after="200" w:line="288" w:lineRule="auto"/>
        <w:jc w:val="center"/>
        <w:rPr>
          <w:rFonts w:ascii="Arial" w:eastAsia="Arial" w:hAnsi="Arial" w:cs="Arial"/>
          <w:sz w:val="20"/>
        </w:rPr>
      </w:pPr>
      <w:r>
        <w:rPr>
          <w:rFonts w:ascii="Arial" w:eastAsia="Arial" w:hAnsi="Arial" w:cs="Arial"/>
          <w:sz w:val="20"/>
        </w:rPr>
        <w:t>(unaudited)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1"/>
        <w:gridCol w:w="1302"/>
        <w:gridCol w:w="80"/>
        <w:gridCol w:w="1302"/>
      </w:tblGrid>
      <w:tr w:rsidR="006E60EE" w14:paraId="0A82569D" w14:textId="77777777">
        <w:trPr>
          <w:cantSplit/>
          <w:jc w:val="center"/>
        </w:trPr>
        <w:tc>
          <w:tcPr>
            <w:tcW w:w="7185" w:type="dxa"/>
            <w:tcBorders>
              <w:top w:val="nil"/>
              <w:left w:val="nil"/>
              <w:bottom w:val="nil"/>
              <w:right w:val="nil"/>
            </w:tcBorders>
            <w:tcMar>
              <w:top w:w="0" w:type="dxa"/>
              <w:left w:w="0" w:type="dxa"/>
              <w:bottom w:w="0" w:type="dxa"/>
              <w:right w:w="0" w:type="dxa"/>
            </w:tcMar>
            <w:vAlign w:val="bottom"/>
          </w:tcPr>
          <w:p w14:paraId="679952B1" w14:textId="77777777" w:rsidR="006E60EE" w:rsidRDefault="006E60EE">
            <w:pPr>
              <w:keepNext/>
            </w:pPr>
          </w:p>
        </w:tc>
        <w:tc>
          <w:tcPr>
            <w:tcW w:w="2670" w:type="dxa"/>
            <w:gridSpan w:val="3"/>
            <w:tcBorders>
              <w:top w:val="nil"/>
              <w:left w:val="nil"/>
              <w:bottom w:val="nil"/>
              <w:right w:val="nil"/>
            </w:tcBorders>
            <w:tcMar>
              <w:top w:w="0" w:type="dxa"/>
              <w:left w:w="53" w:type="dxa"/>
              <w:bottom w:w="0" w:type="dxa"/>
              <w:right w:w="53" w:type="dxa"/>
            </w:tcMar>
            <w:vAlign w:val="bottom"/>
          </w:tcPr>
          <w:p w14:paraId="00063DED" w14:textId="77777777" w:rsidR="006E60EE" w:rsidRDefault="004E2592">
            <w:pPr>
              <w:keepNext/>
              <w:spacing w:before="65" w:after="20"/>
              <w:jc w:val="center"/>
            </w:pPr>
            <w:r>
              <w:rPr>
                <w:rFonts w:ascii="Arial" w:eastAsia="Arial" w:hAnsi="Arial" w:cs="Arial"/>
                <w:color w:val="000000"/>
                <w:sz w:val="20"/>
              </w:rPr>
              <w:t>Three months ended</w:t>
            </w:r>
          </w:p>
        </w:tc>
      </w:tr>
      <w:tr w:rsidR="006E60EE" w14:paraId="2EBB2BEB" w14:textId="77777777">
        <w:trPr>
          <w:cantSplit/>
          <w:jc w:val="center"/>
        </w:trPr>
        <w:tc>
          <w:tcPr>
            <w:tcW w:w="7185" w:type="dxa"/>
            <w:tcBorders>
              <w:top w:val="nil"/>
              <w:left w:val="nil"/>
              <w:bottom w:val="nil"/>
              <w:right w:val="nil"/>
            </w:tcBorders>
            <w:tcMar>
              <w:top w:w="0" w:type="dxa"/>
              <w:left w:w="0" w:type="dxa"/>
              <w:bottom w:w="0" w:type="dxa"/>
              <w:right w:w="0" w:type="dxa"/>
            </w:tcMar>
            <w:vAlign w:val="bottom"/>
          </w:tcPr>
          <w:p w14:paraId="45416A47" w14:textId="77777777" w:rsidR="006E60EE" w:rsidRDefault="006E60EE">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7996F17C" w14:textId="77777777" w:rsidR="006E60EE" w:rsidRDefault="004E2592">
            <w:pPr>
              <w:keepNext/>
              <w:spacing w:before="65" w:after="20"/>
              <w:jc w:val="center"/>
            </w:pPr>
            <w:r>
              <w:rPr>
                <w:rFonts w:ascii="Arial" w:eastAsia="Arial" w:hAnsi="Arial" w:cs="Arial"/>
                <w:color w:val="000000"/>
                <w:sz w:val="20"/>
              </w:rPr>
              <w:t>March 31,</w:t>
            </w:r>
          </w:p>
        </w:tc>
      </w:tr>
      <w:tr w:rsidR="006E60EE" w14:paraId="10C96130" w14:textId="77777777">
        <w:trPr>
          <w:cantSplit/>
          <w:jc w:val="center"/>
        </w:trPr>
        <w:tc>
          <w:tcPr>
            <w:tcW w:w="7185" w:type="dxa"/>
            <w:tcBorders>
              <w:top w:val="nil"/>
              <w:left w:val="nil"/>
              <w:bottom w:val="nil"/>
              <w:right w:val="nil"/>
            </w:tcBorders>
            <w:tcMar>
              <w:top w:w="0" w:type="dxa"/>
              <w:left w:w="0" w:type="dxa"/>
              <w:bottom w:w="0" w:type="dxa"/>
              <w:right w:w="0" w:type="dxa"/>
            </w:tcMar>
            <w:vAlign w:val="bottom"/>
          </w:tcPr>
          <w:p w14:paraId="5D90923D" w14:textId="77777777" w:rsidR="006E60EE" w:rsidRDefault="006E60EE">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0E470D06" w14:textId="77777777" w:rsidR="006E60EE" w:rsidRDefault="004E2592">
            <w:pPr>
              <w:keepNext/>
              <w:spacing w:before="45" w:after="20"/>
              <w:jc w:val="center"/>
            </w:pPr>
            <w:r>
              <w:rPr>
                <w:rFonts w:ascii="Arial" w:eastAsia="Arial" w:hAnsi="Arial" w:cs="Arial"/>
                <w:color w:val="000000"/>
                <w:sz w:val="18"/>
              </w:rPr>
              <w:t>2024</w:t>
            </w:r>
          </w:p>
        </w:tc>
        <w:tc>
          <w:tcPr>
            <w:tcW w:w="60" w:type="dxa"/>
            <w:tcBorders>
              <w:top w:val="single" w:sz="8" w:space="0" w:color="000000"/>
              <w:left w:val="nil"/>
              <w:bottom w:val="nil"/>
              <w:right w:val="nil"/>
            </w:tcBorders>
            <w:tcMar>
              <w:top w:w="0" w:type="dxa"/>
              <w:left w:w="30" w:type="dxa"/>
              <w:bottom w:w="0" w:type="dxa"/>
              <w:right w:w="30" w:type="dxa"/>
            </w:tcMar>
            <w:vAlign w:val="bottom"/>
          </w:tcPr>
          <w:p w14:paraId="56CB5102" w14:textId="77777777" w:rsidR="006E60EE" w:rsidRDefault="006E60EE">
            <w:pPr>
              <w:keepNext/>
              <w:spacing w:before="45" w:after="20"/>
              <w:jc w:val="center"/>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0EF8B8C" w14:textId="77777777" w:rsidR="006E60EE" w:rsidRDefault="004E2592">
            <w:pPr>
              <w:keepNext/>
              <w:spacing w:before="45" w:after="20"/>
              <w:jc w:val="center"/>
            </w:pPr>
            <w:r>
              <w:rPr>
                <w:rFonts w:ascii="Arial" w:eastAsia="Arial" w:hAnsi="Arial" w:cs="Arial"/>
                <w:color w:val="000000"/>
                <w:sz w:val="18"/>
              </w:rPr>
              <w:t>2023</w:t>
            </w:r>
          </w:p>
        </w:tc>
      </w:tr>
      <w:tr w:rsidR="006E60EE" w14:paraId="7FC6F0E0" w14:textId="77777777">
        <w:trPr>
          <w:cantSplit/>
          <w:jc w:val="center"/>
        </w:trPr>
        <w:tc>
          <w:tcPr>
            <w:tcW w:w="7185" w:type="dxa"/>
            <w:tcBorders>
              <w:top w:val="nil"/>
              <w:left w:val="nil"/>
              <w:bottom w:val="nil"/>
              <w:right w:val="nil"/>
            </w:tcBorders>
            <w:shd w:val="clear" w:color="auto" w:fill="CCEEFF"/>
            <w:tcMar>
              <w:top w:w="0" w:type="dxa"/>
              <w:left w:w="53" w:type="dxa"/>
              <w:bottom w:w="0" w:type="dxa"/>
              <w:right w:w="53" w:type="dxa"/>
            </w:tcMar>
            <w:vAlign w:val="bottom"/>
          </w:tcPr>
          <w:p w14:paraId="18A2346C" w14:textId="77777777" w:rsidR="006E60EE" w:rsidRDefault="004E2592">
            <w:pPr>
              <w:keepNext/>
              <w:spacing w:before="45" w:after="20"/>
            </w:pPr>
            <w:r>
              <w:rPr>
                <w:rFonts w:ascii="Arial" w:eastAsia="Arial" w:hAnsi="Arial" w:cs="Arial"/>
                <w:color w:val="000000"/>
                <w:sz w:val="20"/>
              </w:rPr>
              <w:t>Product revenue:</w:t>
            </w: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1C1DFBD" w14:textId="77777777" w:rsidR="006E60EE" w:rsidRDefault="006E60EE">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5B11A99" w14:textId="77777777" w:rsidR="006E60EE" w:rsidRDefault="006E60EE">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6561742" w14:textId="77777777" w:rsidR="006E60EE" w:rsidRDefault="006E60EE">
            <w:pPr>
              <w:keepNext/>
            </w:pPr>
          </w:p>
        </w:tc>
      </w:tr>
      <w:tr w:rsidR="006E60EE" w14:paraId="14586D91" w14:textId="77777777">
        <w:trPr>
          <w:cantSplit/>
          <w:jc w:val="center"/>
        </w:trPr>
        <w:tc>
          <w:tcPr>
            <w:tcW w:w="7185" w:type="dxa"/>
            <w:tcBorders>
              <w:top w:val="nil"/>
              <w:left w:val="nil"/>
              <w:bottom w:val="nil"/>
              <w:right w:val="nil"/>
            </w:tcBorders>
            <w:shd w:val="clear" w:color="auto" w:fill="FFFFFF"/>
            <w:tcMar>
              <w:top w:w="0" w:type="dxa"/>
              <w:left w:w="53" w:type="dxa"/>
              <w:bottom w:w="0" w:type="dxa"/>
              <w:right w:w="53" w:type="dxa"/>
            </w:tcMar>
            <w:vAlign w:val="bottom"/>
          </w:tcPr>
          <w:p w14:paraId="0E13C088" w14:textId="77777777" w:rsidR="006E60EE" w:rsidRDefault="004E2592">
            <w:pPr>
              <w:keepNext/>
              <w:spacing w:before="65" w:after="20"/>
              <w:ind w:left="240"/>
            </w:pPr>
            <w:r>
              <w:rPr>
                <w:rFonts w:ascii="Arial" w:eastAsia="Arial" w:hAnsi="Arial" w:cs="Arial"/>
                <w:color w:val="000000"/>
                <w:sz w:val="20"/>
              </w:rPr>
              <w:t>Product revenue - retail</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6CDDE53" w14:textId="77777777" w:rsidR="006E60EE" w:rsidRDefault="004E2592">
            <w:pPr>
              <w:keepNext/>
              <w:tabs>
                <w:tab w:val="left" w:pos="561"/>
                <w:tab w:val="left" w:pos="1237"/>
              </w:tabs>
              <w:spacing w:before="65" w:after="20"/>
              <w:jc w:val="right"/>
            </w:pPr>
            <w:r>
              <w:rPr>
                <w:rFonts w:ascii="Arial" w:eastAsia="Arial" w:hAnsi="Arial" w:cs="Arial"/>
                <w:color w:val="000000"/>
                <w:sz w:val="20"/>
              </w:rPr>
              <w:tab/>
              <w:t>22,346</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2D6E37A" w14:textId="77777777" w:rsidR="006E60EE" w:rsidRDefault="006E60EE">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8E1AA8B" w14:textId="77777777" w:rsidR="006E60EE" w:rsidRDefault="004E2592">
            <w:pPr>
              <w:keepNext/>
              <w:tabs>
                <w:tab w:val="left" w:pos="561"/>
                <w:tab w:val="left" w:pos="1237"/>
              </w:tabs>
              <w:spacing w:before="65" w:after="20"/>
              <w:jc w:val="right"/>
            </w:pPr>
            <w:r>
              <w:rPr>
                <w:rFonts w:ascii="Arial" w:eastAsia="Arial" w:hAnsi="Arial" w:cs="Arial"/>
                <w:color w:val="000000"/>
                <w:sz w:val="20"/>
              </w:rPr>
              <w:tab/>
              <w:t>23,183</w:t>
            </w:r>
            <w:r>
              <w:rPr>
                <w:rFonts w:ascii="Arial" w:eastAsia="Arial" w:hAnsi="Arial" w:cs="Arial"/>
                <w:color w:val="000000"/>
                <w:sz w:val="20"/>
              </w:rPr>
              <w:tab/>
            </w:r>
          </w:p>
        </w:tc>
      </w:tr>
      <w:tr w:rsidR="006E60EE" w14:paraId="5F67713B" w14:textId="77777777">
        <w:trPr>
          <w:cantSplit/>
          <w:jc w:val="center"/>
        </w:trPr>
        <w:tc>
          <w:tcPr>
            <w:tcW w:w="7185" w:type="dxa"/>
            <w:tcBorders>
              <w:top w:val="nil"/>
              <w:left w:val="nil"/>
              <w:bottom w:val="nil"/>
              <w:right w:val="nil"/>
            </w:tcBorders>
            <w:shd w:val="clear" w:color="auto" w:fill="CCEEFF"/>
            <w:tcMar>
              <w:top w:w="0" w:type="dxa"/>
              <w:left w:w="53" w:type="dxa"/>
              <w:bottom w:w="0" w:type="dxa"/>
              <w:right w:w="53" w:type="dxa"/>
            </w:tcMar>
            <w:vAlign w:val="bottom"/>
          </w:tcPr>
          <w:p w14:paraId="1F7009B4" w14:textId="77777777" w:rsidR="006E60EE" w:rsidRDefault="004E2592">
            <w:pPr>
              <w:keepNext/>
              <w:spacing w:before="65" w:after="20"/>
              <w:ind w:left="240"/>
            </w:pPr>
            <w:r>
              <w:rPr>
                <w:rFonts w:ascii="Arial" w:eastAsia="Arial" w:hAnsi="Arial" w:cs="Arial"/>
                <w:color w:val="000000"/>
                <w:sz w:val="20"/>
              </w:rPr>
              <w:t>Product revenue - wholesale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30F072" w14:textId="77777777" w:rsidR="006E60EE" w:rsidRDefault="004E2592">
            <w:pPr>
              <w:keepNext/>
              <w:tabs>
                <w:tab w:val="left" w:pos="561"/>
                <w:tab w:val="left" w:pos="1237"/>
              </w:tabs>
              <w:spacing w:before="65" w:after="20"/>
              <w:jc w:val="right"/>
            </w:pPr>
            <w:r>
              <w:rPr>
                <w:rFonts w:ascii="Arial" w:eastAsia="Arial" w:hAnsi="Arial" w:cs="Arial"/>
                <w:color w:val="000000"/>
                <w:sz w:val="20"/>
              </w:rPr>
              <w:tab/>
              <w:t>14,505</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88505C6" w14:textId="77777777" w:rsidR="006E60EE" w:rsidRDefault="006E60EE">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23B7E42" w14:textId="77777777" w:rsidR="006E60EE" w:rsidRDefault="004E2592">
            <w:pPr>
              <w:keepNext/>
              <w:tabs>
                <w:tab w:val="left" w:pos="561"/>
                <w:tab w:val="left" w:pos="1237"/>
              </w:tabs>
              <w:spacing w:before="65" w:after="20"/>
              <w:jc w:val="right"/>
            </w:pPr>
            <w:r>
              <w:rPr>
                <w:rFonts w:ascii="Arial" w:eastAsia="Arial" w:hAnsi="Arial" w:cs="Arial"/>
                <w:color w:val="000000"/>
                <w:sz w:val="20"/>
              </w:rPr>
              <w:tab/>
              <w:t>10,376</w:t>
            </w:r>
            <w:r>
              <w:rPr>
                <w:rFonts w:ascii="Arial" w:eastAsia="Arial" w:hAnsi="Arial" w:cs="Arial"/>
                <w:color w:val="000000"/>
                <w:sz w:val="20"/>
              </w:rPr>
              <w:tab/>
            </w:r>
          </w:p>
        </w:tc>
      </w:tr>
      <w:tr w:rsidR="006E60EE" w14:paraId="3AFBA8B2" w14:textId="77777777">
        <w:trPr>
          <w:cantSplit/>
          <w:jc w:val="center"/>
        </w:trPr>
        <w:tc>
          <w:tcPr>
            <w:tcW w:w="7185" w:type="dxa"/>
            <w:tcBorders>
              <w:top w:val="nil"/>
              <w:left w:val="nil"/>
              <w:bottom w:val="nil"/>
              <w:right w:val="nil"/>
            </w:tcBorders>
            <w:shd w:val="clear" w:color="auto" w:fill="FFFFFF"/>
            <w:tcMar>
              <w:top w:w="0" w:type="dxa"/>
              <w:left w:w="53" w:type="dxa"/>
              <w:bottom w:w="0" w:type="dxa"/>
              <w:right w:w="53" w:type="dxa"/>
            </w:tcMar>
            <w:vAlign w:val="bottom"/>
          </w:tcPr>
          <w:p w14:paraId="1E6FDAAC" w14:textId="77777777" w:rsidR="006E60EE" w:rsidRDefault="004E2592">
            <w:pPr>
              <w:keepNext/>
              <w:spacing w:before="45" w:after="20"/>
              <w:ind w:left="480"/>
            </w:pPr>
            <w:r>
              <w:rPr>
                <w:rFonts w:ascii="Arial" w:eastAsia="Arial" w:hAnsi="Arial" w:cs="Arial"/>
                <w:color w:val="000000"/>
                <w:sz w:val="20"/>
              </w:rPr>
              <w:t>Total product revenue</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424C416" w14:textId="77777777" w:rsidR="006E60EE" w:rsidRDefault="004E2592">
            <w:pPr>
              <w:keepNext/>
              <w:tabs>
                <w:tab w:val="left" w:pos="561"/>
                <w:tab w:val="left" w:pos="1237"/>
              </w:tabs>
              <w:spacing w:before="45" w:after="20"/>
              <w:jc w:val="right"/>
            </w:pPr>
            <w:r>
              <w:rPr>
                <w:rFonts w:ascii="Arial" w:eastAsia="Arial" w:hAnsi="Arial" w:cs="Arial"/>
                <w:color w:val="000000"/>
                <w:sz w:val="20"/>
              </w:rPr>
              <w:tab/>
              <w:t>36,851</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1836465" w14:textId="77777777" w:rsidR="006E60EE" w:rsidRDefault="006E60EE">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8AF5FD1" w14:textId="77777777" w:rsidR="006E60EE" w:rsidRDefault="004E2592">
            <w:pPr>
              <w:keepNext/>
              <w:tabs>
                <w:tab w:val="left" w:pos="561"/>
                <w:tab w:val="left" w:pos="1237"/>
              </w:tabs>
              <w:spacing w:before="45" w:after="20"/>
              <w:jc w:val="right"/>
            </w:pPr>
            <w:r>
              <w:rPr>
                <w:rFonts w:ascii="Arial" w:eastAsia="Arial" w:hAnsi="Arial" w:cs="Arial"/>
                <w:color w:val="000000"/>
                <w:sz w:val="20"/>
              </w:rPr>
              <w:tab/>
              <w:t>33,559</w:t>
            </w:r>
            <w:r>
              <w:rPr>
                <w:rFonts w:ascii="Arial" w:eastAsia="Arial" w:hAnsi="Arial" w:cs="Arial"/>
                <w:color w:val="000000"/>
                <w:sz w:val="20"/>
              </w:rPr>
              <w:tab/>
            </w:r>
          </w:p>
        </w:tc>
      </w:tr>
      <w:tr w:rsidR="006E60EE" w14:paraId="71918509" w14:textId="77777777">
        <w:trPr>
          <w:cantSplit/>
          <w:jc w:val="center"/>
        </w:trPr>
        <w:tc>
          <w:tcPr>
            <w:tcW w:w="7185" w:type="dxa"/>
            <w:tcBorders>
              <w:top w:val="nil"/>
              <w:left w:val="nil"/>
              <w:bottom w:val="nil"/>
              <w:right w:val="nil"/>
            </w:tcBorders>
            <w:shd w:val="clear" w:color="auto" w:fill="CCEEFF"/>
            <w:tcMar>
              <w:top w:w="0" w:type="dxa"/>
              <w:left w:w="53" w:type="dxa"/>
              <w:bottom w:w="0" w:type="dxa"/>
              <w:right w:w="53" w:type="dxa"/>
            </w:tcMar>
            <w:vAlign w:val="bottom"/>
          </w:tcPr>
          <w:p w14:paraId="63839159" w14:textId="77777777" w:rsidR="006E60EE" w:rsidRDefault="004E2592">
            <w:pPr>
              <w:keepNext/>
              <w:spacing w:before="65" w:after="20"/>
            </w:pPr>
            <w:r>
              <w:rPr>
                <w:rFonts w:ascii="Arial" w:eastAsia="Arial" w:hAnsi="Arial" w:cs="Arial"/>
                <w:color w:val="000000"/>
                <w:sz w:val="20"/>
              </w:rPr>
              <w:t>Other revenue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96BF79F" w14:textId="77777777" w:rsidR="006E60EE" w:rsidRDefault="004E2592">
            <w:pPr>
              <w:keepNext/>
              <w:tabs>
                <w:tab w:val="left" w:pos="672"/>
                <w:tab w:val="left" w:pos="1237"/>
              </w:tabs>
              <w:spacing w:before="65" w:after="20"/>
              <w:jc w:val="right"/>
            </w:pPr>
            <w:r>
              <w:rPr>
                <w:rFonts w:ascii="Arial" w:eastAsia="Arial" w:hAnsi="Arial" w:cs="Arial"/>
                <w:color w:val="000000"/>
                <w:sz w:val="20"/>
              </w:rPr>
              <w:tab/>
              <w:t>1,082</w:t>
            </w:r>
            <w:r>
              <w:rPr>
                <w:rFonts w:ascii="Arial" w:eastAsia="Arial" w:hAnsi="Arial" w:cs="Arial"/>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076501" w14:textId="77777777" w:rsidR="006E60EE" w:rsidRDefault="006E60EE">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CBAB3D4" w14:textId="77777777" w:rsidR="006E60EE" w:rsidRDefault="004E2592">
            <w:pPr>
              <w:keepNext/>
              <w:tabs>
                <w:tab w:val="left" w:pos="839"/>
                <w:tab w:val="left" w:pos="1237"/>
              </w:tabs>
              <w:spacing w:before="65" w:after="20"/>
              <w:jc w:val="right"/>
            </w:pPr>
            <w:r>
              <w:rPr>
                <w:rFonts w:ascii="Arial" w:eastAsia="Arial" w:hAnsi="Arial" w:cs="Arial"/>
                <w:color w:val="000000"/>
                <w:sz w:val="20"/>
              </w:rPr>
              <w:tab/>
              <w:t>821</w:t>
            </w:r>
            <w:r>
              <w:rPr>
                <w:rFonts w:ascii="Arial" w:eastAsia="Arial" w:hAnsi="Arial" w:cs="Arial"/>
                <w:color w:val="000000"/>
                <w:sz w:val="20"/>
              </w:rPr>
              <w:tab/>
            </w:r>
          </w:p>
        </w:tc>
      </w:tr>
      <w:tr w:rsidR="006E60EE" w14:paraId="5C29459E" w14:textId="77777777">
        <w:trPr>
          <w:cantSplit/>
          <w:jc w:val="center"/>
        </w:trPr>
        <w:tc>
          <w:tcPr>
            <w:tcW w:w="7185" w:type="dxa"/>
            <w:tcBorders>
              <w:top w:val="nil"/>
              <w:left w:val="nil"/>
              <w:bottom w:val="nil"/>
              <w:right w:val="nil"/>
            </w:tcBorders>
            <w:shd w:val="clear" w:color="auto" w:fill="FFFFFF"/>
            <w:tcMar>
              <w:top w:w="0" w:type="dxa"/>
              <w:left w:w="53" w:type="dxa"/>
              <w:bottom w:w="0" w:type="dxa"/>
              <w:right w:w="53" w:type="dxa"/>
            </w:tcMar>
            <w:vAlign w:val="bottom"/>
          </w:tcPr>
          <w:p w14:paraId="76A98CDF" w14:textId="77777777" w:rsidR="006E60EE" w:rsidRDefault="004E2592">
            <w:pPr>
              <w:spacing w:before="45" w:after="20"/>
              <w:ind w:left="720"/>
            </w:pPr>
            <w:r>
              <w:rPr>
                <w:rFonts w:ascii="Arial" w:eastAsia="Arial" w:hAnsi="Arial" w:cs="Arial"/>
                <w:color w:val="000000"/>
                <w:sz w:val="20"/>
              </w:rPr>
              <w:t>Total revenue</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18E48B6" w14:textId="77777777" w:rsidR="006E60EE" w:rsidRDefault="004E2592">
            <w:pPr>
              <w:tabs>
                <w:tab w:val="left" w:pos="561"/>
                <w:tab w:val="left" w:pos="1237"/>
              </w:tabs>
              <w:spacing w:before="45" w:after="20"/>
              <w:jc w:val="right"/>
            </w:pPr>
            <w:r>
              <w:rPr>
                <w:rFonts w:ascii="Arial" w:eastAsia="Arial" w:hAnsi="Arial" w:cs="Arial"/>
                <w:color w:val="000000"/>
                <w:sz w:val="20"/>
              </w:rPr>
              <w:t>$</w:t>
            </w:r>
            <w:r>
              <w:rPr>
                <w:rFonts w:ascii="Arial" w:eastAsia="Arial" w:hAnsi="Arial" w:cs="Arial"/>
                <w:color w:val="000000"/>
                <w:sz w:val="20"/>
              </w:rPr>
              <w:tab/>
              <w:t>37,933</w:t>
            </w:r>
            <w:r>
              <w:rPr>
                <w:rFonts w:ascii="Arial" w:eastAsia="Arial" w:hAnsi="Arial" w:cs="Arial"/>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A885824" w14:textId="77777777" w:rsidR="006E60EE" w:rsidRDefault="006E60EE"/>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BAA37BE" w14:textId="77777777" w:rsidR="006E60EE" w:rsidRDefault="004E2592">
            <w:pPr>
              <w:tabs>
                <w:tab w:val="left" w:pos="561"/>
                <w:tab w:val="left" w:pos="1237"/>
              </w:tabs>
              <w:spacing w:before="45" w:after="20"/>
              <w:jc w:val="right"/>
            </w:pPr>
            <w:r>
              <w:rPr>
                <w:rFonts w:ascii="Arial" w:eastAsia="Arial" w:hAnsi="Arial" w:cs="Arial"/>
                <w:color w:val="000000"/>
                <w:sz w:val="20"/>
              </w:rPr>
              <w:t>$</w:t>
            </w:r>
            <w:r>
              <w:rPr>
                <w:rFonts w:ascii="Arial" w:eastAsia="Arial" w:hAnsi="Arial" w:cs="Arial"/>
                <w:color w:val="000000"/>
                <w:sz w:val="20"/>
              </w:rPr>
              <w:tab/>
              <w:t>34,380</w:t>
            </w:r>
            <w:r>
              <w:rPr>
                <w:rFonts w:ascii="Arial" w:eastAsia="Arial" w:hAnsi="Arial" w:cs="Arial"/>
                <w:color w:val="000000"/>
                <w:sz w:val="20"/>
              </w:rPr>
              <w:tab/>
            </w:r>
          </w:p>
        </w:tc>
      </w:tr>
    </w:tbl>
    <w:p w14:paraId="3660B72F" w14:textId="77777777" w:rsidR="006E60EE" w:rsidRDefault="006E60EE">
      <w:pPr>
        <w:keepNext/>
        <w:spacing w:line="288" w:lineRule="auto"/>
        <w:jc w:val="center"/>
        <w:rPr>
          <w:rFonts w:ascii="Arial" w:eastAsia="Arial" w:hAnsi="Arial" w:cs="Arial"/>
          <w:sz w:val="2"/>
        </w:rPr>
      </w:pPr>
    </w:p>
    <w:sectPr w:rsidR="006E60EE">
      <w:pgSz w:w="12240" w:h="15840"/>
      <w:pgMar w:top="900" w:right="1170" w:bottom="900" w:left="117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8CA4B" w14:textId="77777777" w:rsidR="00CD06A6" w:rsidRDefault="00CD06A6">
      <w:r>
        <w:separator/>
      </w:r>
    </w:p>
  </w:endnote>
  <w:endnote w:type="continuationSeparator" w:id="0">
    <w:p w14:paraId="1EC6946D" w14:textId="77777777" w:rsidR="00CD06A6" w:rsidRDefault="00CD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A52CB" w14:textId="77777777" w:rsidR="006E60EE" w:rsidRDefault="006E60EE">
    <w:pPr>
      <w:spacing w:line="288" w:lineRule="auto"/>
      <w:jc w:val="cente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378B2" w14:textId="77777777" w:rsidR="00CD06A6" w:rsidRDefault="00CD06A6">
      <w:r>
        <w:separator/>
      </w:r>
    </w:p>
  </w:footnote>
  <w:footnote w:type="continuationSeparator" w:id="0">
    <w:p w14:paraId="22B72DB3" w14:textId="77777777" w:rsidR="00CD06A6" w:rsidRDefault="00CD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D3E1B" w14:textId="77777777" w:rsidR="006E60EE" w:rsidRDefault="006E60EE">
    <w:pPr>
      <w:spacing w:line="288" w:lineRule="auto"/>
      <w:jc w:val="center"/>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2A300" w14:textId="77777777" w:rsidR="006E60EE" w:rsidRDefault="006E60EE">
    <w:pPr>
      <w:spacing w:line="276" w:lineRule="auto"/>
      <w:jc w:val="cente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multilevel"/>
    <w:tmpl w:val="0000000D"/>
    <w:styleLink w:val="outlinearabi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180"/>
      </w:pPr>
    </w:lvl>
  </w:abstractNum>
  <w:abstractNum w:abstractNumId="13" w15:restartNumberingAfterBreak="0">
    <w:nsid w:val="0000000E"/>
    <w:multiLevelType w:val="hybridMultilevel"/>
    <w:tmpl w:val="0000000E"/>
    <w:lvl w:ilvl="0" w:tplc="16FE706A">
      <w:start w:val="1"/>
      <w:numFmt w:val="bullet"/>
      <w:lvlText w:val="•"/>
      <w:lvlJc w:val="left"/>
      <w:pPr>
        <w:tabs>
          <w:tab w:val="num" w:pos="360"/>
        </w:tabs>
        <w:ind w:left="720" w:hanging="360"/>
      </w:pPr>
      <w:rPr>
        <w:rFonts w:ascii="Arial" w:eastAsia="Arial" w:hAnsi="Arial" w:cs="Arial"/>
        <w:b/>
        <w:i w:val="0"/>
        <w:strike w:val="0"/>
        <w:color w:val="000000"/>
        <w:sz w:val="22"/>
        <w:u w:val="none"/>
        <w:shd w:val="clear" w:color="auto" w:fill="FFFFFF"/>
      </w:rPr>
    </w:lvl>
    <w:lvl w:ilvl="1" w:tplc="12C09028">
      <w:start w:val="1"/>
      <w:numFmt w:val="bullet"/>
      <w:lvlText w:val="o"/>
      <w:lvlJc w:val="left"/>
      <w:pPr>
        <w:tabs>
          <w:tab w:val="num" w:pos="1440"/>
        </w:tabs>
        <w:ind w:left="1440" w:hanging="360"/>
      </w:pPr>
      <w:rPr>
        <w:rFonts w:ascii="Courier New" w:hAnsi="Courier New"/>
      </w:rPr>
    </w:lvl>
    <w:lvl w:ilvl="2" w:tplc="F2BE2CA6">
      <w:start w:val="1"/>
      <w:numFmt w:val="bullet"/>
      <w:lvlText w:val=""/>
      <w:lvlJc w:val="left"/>
      <w:pPr>
        <w:tabs>
          <w:tab w:val="num" w:pos="2160"/>
        </w:tabs>
        <w:ind w:left="2160" w:hanging="360"/>
      </w:pPr>
      <w:rPr>
        <w:rFonts w:ascii="Wingdings" w:hAnsi="Wingdings"/>
      </w:rPr>
    </w:lvl>
    <w:lvl w:ilvl="3" w:tplc="41AE1C6E">
      <w:start w:val="1"/>
      <w:numFmt w:val="bullet"/>
      <w:lvlText w:val=""/>
      <w:lvlJc w:val="left"/>
      <w:pPr>
        <w:tabs>
          <w:tab w:val="num" w:pos="2880"/>
        </w:tabs>
        <w:ind w:left="2880" w:hanging="360"/>
      </w:pPr>
      <w:rPr>
        <w:rFonts w:ascii="Symbol" w:hAnsi="Symbol"/>
      </w:rPr>
    </w:lvl>
    <w:lvl w:ilvl="4" w:tplc="FC921C80">
      <w:start w:val="1"/>
      <w:numFmt w:val="bullet"/>
      <w:lvlText w:val="o"/>
      <w:lvlJc w:val="left"/>
      <w:pPr>
        <w:tabs>
          <w:tab w:val="num" w:pos="3600"/>
        </w:tabs>
        <w:ind w:left="3600" w:hanging="360"/>
      </w:pPr>
      <w:rPr>
        <w:rFonts w:ascii="Courier New" w:hAnsi="Courier New"/>
      </w:rPr>
    </w:lvl>
    <w:lvl w:ilvl="5" w:tplc="C03EA4BA">
      <w:start w:val="1"/>
      <w:numFmt w:val="bullet"/>
      <w:lvlText w:val=""/>
      <w:lvlJc w:val="left"/>
      <w:pPr>
        <w:tabs>
          <w:tab w:val="num" w:pos="4320"/>
        </w:tabs>
        <w:ind w:left="4320" w:hanging="360"/>
      </w:pPr>
      <w:rPr>
        <w:rFonts w:ascii="Wingdings" w:hAnsi="Wingdings"/>
      </w:rPr>
    </w:lvl>
    <w:lvl w:ilvl="6" w:tplc="E28EF9E4">
      <w:start w:val="1"/>
      <w:numFmt w:val="bullet"/>
      <w:lvlText w:val=""/>
      <w:lvlJc w:val="left"/>
      <w:pPr>
        <w:tabs>
          <w:tab w:val="num" w:pos="5040"/>
        </w:tabs>
        <w:ind w:left="5040" w:hanging="360"/>
      </w:pPr>
      <w:rPr>
        <w:rFonts w:ascii="Symbol" w:hAnsi="Symbol"/>
      </w:rPr>
    </w:lvl>
    <w:lvl w:ilvl="7" w:tplc="56F2F742">
      <w:start w:val="1"/>
      <w:numFmt w:val="bullet"/>
      <w:lvlText w:val="o"/>
      <w:lvlJc w:val="left"/>
      <w:pPr>
        <w:tabs>
          <w:tab w:val="num" w:pos="5760"/>
        </w:tabs>
        <w:ind w:left="5760" w:hanging="360"/>
      </w:pPr>
      <w:rPr>
        <w:rFonts w:ascii="Courier New" w:hAnsi="Courier New"/>
      </w:rPr>
    </w:lvl>
    <w:lvl w:ilvl="8" w:tplc="29C242B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7F489AA">
      <w:start w:val="1"/>
      <w:numFmt w:val="bullet"/>
      <w:lvlText w:val="•"/>
      <w:lvlJc w:val="left"/>
      <w:pPr>
        <w:tabs>
          <w:tab w:val="num" w:pos="360"/>
        </w:tabs>
        <w:ind w:left="720" w:hanging="360"/>
      </w:pPr>
      <w:rPr>
        <w:rFonts w:ascii="Arial" w:eastAsia="Arial" w:hAnsi="Arial" w:cs="Arial"/>
        <w:b/>
        <w:i w:val="0"/>
        <w:strike w:val="0"/>
        <w:color w:val="000000"/>
        <w:sz w:val="22"/>
        <w:u w:val="none"/>
        <w:shd w:val="clear" w:color="auto" w:fill="FFFFFF"/>
      </w:rPr>
    </w:lvl>
    <w:lvl w:ilvl="1" w:tplc="C4B633CC">
      <w:start w:val="1"/>
      <w:numFmt w:val="bullet"/>
      <w:lvlText w:val="o"/>
      <w:lvlJc w:val="left"/>
      <w:pPr>
        <w:tabs>
          <w:tab w:val="num" w:pos="1440"/>
        </w:tabs>
        <w:ind w:left="1440" w:hanging="360"/>
      </w:pPr>
      <w:rPr>
        <w:rFonts w:ascii="Courier New" w:hAnsi="Courier New"/>
      </w:rPr>
    </w:lvl>
    <w:lvl w:ilvl="2" w:tplc="A5E027BA">
      <w:start w:val="1"/>
      <w:numFmt w:val="bullet"/>
      <w:lvlText w:val=""/>
      <w:lvlJc w:val="left"/>
      <w:pPr>
        <w:tabs>
          <w:tab w:val="num" w:pos="2160"/>
        </w:tabs>
        <w:ind w:left="2160" w:hanging="360"/>
      </w:pPr>
      <w:rPr>
        <w:rFonts w:ascii="Wingdings" w:hAnsi="Wingdings"/>
      </w:rPr>
    </w:lvl>
    <w:lvl w:ilvl="3" w:tplc="55529882">
      <w:start w:val="1"/>
      <w:numFmt w:val="bullet"/>
      <w:lvlText w:val=""/>
      <w:lvlJc w:val="left"/>
      <w:pPr>
        <w:tabs>
          <w:tab w:val="num" w:pos="2880"/>
        </w:tabs>
        <w:ind w:left="2880" w:hanging="360"/>
      </w:pPr>
      <w:rPr>
        <w:rFonts w:ascii="Symbol" w:hAnsi="Symbol"/>
      </w:rPr>
    </w:lvl>
    <w:lvl w:ilvl="4" w:tplc="30C0C3B8">
      <w:start w:val="1"/>
      <w:numFmt w:val="bullet"/>
      <w:lvlText w:val="o"/>
      <w:lvlJc w:val="left"/>
      <w:pPr>
        <w:tabs>
          <w:tab w:val="num" w:pos="3600"/>
        </w:tabs>
        <w:ind w:left="3600" w:hanging="360"/>
      </w:pPr>
      <w:rPr>
        <w:rFonts w:ascii="Courier New" w:hAnsi="Courier New"/>
      </w:rPr>
    </w:lvl>
    <w:lvl w:ilvl="5" w:tplc="2348E846">
      <w:start w:val="1"/>
      <w:numFmt w:val="bullet"/>
      <w:lvlText w:val=""/>
      <w:lvlJc w:val="left"/>
      <w:pPr>
        <w:tabs>
          <w:tab w:val="num" w:pos="4320"/>
        </w:tabs>
        <w:ind w:left="4320" w:hanging="360"/>
      </w:pPr>
      <w:rPr>
        <w:rFonts w:ascii="Wingdings" w:hAnsi="Wingdings"/>
      </w:rPr>
    </w:lvl>
    <w:lvl w:ilvl="6" w:tplc="7C401876">
      <w:start w:val="1"/>
      <w:numFmt w:val="bullet"/>
      <w:lvlText w:val=""/>
      <w:lvlJc w:val="left"/>
      <w:pPr>
        <w:tabs>
          <w:tab w:val="num" w:pos="5040"/>
        </w:tabs>
        <w:ind w:left="5040" w:hanging="360"/>
      </w:pPr>
      <w:rPr>
        <w:rFonts w:ascii="Symbol" w:hAnsi="Symbol"/>
      </w:rPr>
    </w:lvl>
    <w:lvl w:ilvl="7" w:tplc="B582BCC8">
      <w:start w:val="1"/>
      <w:numFmt w:val="bullet"/>
      <w:lvlText w:val="o"/>
      <w:lvlJc w:val="left"/>
      <w:pPr>
        <w:tabs>
          <w:tab w:val="num" w:pos="5760"/>
        </w:tabs>
        <w:ind w:left="5760" w:hanging="360"/>
      </w:pPr>
      <w:rPr>
        <w:rFonts w:ascii="Courier New" w:hAnsi="Courier New"/>
      </w:rPr>
    </w:lvl>
    <w:lvl w:ilvl="8" w:tplc="FE103BF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D02AB50">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C8A4E184">
      <w:start w:val="1"/>
      <w:numFmt w:val="bullet"/>
      <w:lvlText w:val="o"/>
      <w:lvlJc w:val="left"/>
      <w:pPr>
        <w:tabs>
          <w:tab w:val="num" w:pos="1440"/>
        </w:tabs>
        <w:ind w:left="1440" w:hanging="360"/>
      </w:pPr>
      <w:rPr>
        <w:rFonts w:ascii="Courier New" w:hAnsi="Courier New"/>
      </w:rPr>
    </w:lvl>
    <w:lvl w:ilvl="2" w:tplc="11984A66">
      <w:start w:val="1"/>
      <w:numFmt w:val="bullet"/>
      <w:lvlText w:val=""/>
      <w:lvlJc w:val="left"/>
      <w:pPr>
        <w:tabs>
          <w:tab w:val="num" w:pos="2160"/>
        </w:tabs>
        <w:ind w:left="2160" w:hanging="360"/>
      </w:pPr>
      <w:rPr>
        <w:rFonts w:ascii="Wingdings" w:hAnsi="Wingdings"/>
      </w:rPr>
    </w:lvl>
    <w:lvl w:ilvl="3" w:tplc="8AB0F0F0">
      <w:start w:val="1"/>
      <w:numFmt w:val="bullet"/>
      <w:lvlText w:val=""/>
      <w:lvlJc w:val="left"/>
      <w:pPr>
        <w:tabs>
          <w:tab w:val="num" w:pos="2880"/>
        </w:tabs>
        <w:ind w:left="2880" w:hanging="360"/>
      </w:pPr>
      <w:rPr>
        <w:rFonts w:ascii="Symbol" w:hAnsi="Symbol"/>
      </w:rPr>
    </w:lvl>
    <w:lvl w:ilvl="4" w:tplc="D57A3E2E">
      <w:start w:val="1"/>
      <w:numFmt w:val="bullet"/>
      <w:lvlText w:val="o"/>
      <w:lvlJc w:val="left"/>
      <w:pPr>
        <w:tabs>
          <w:tab w:val="num" w:pos="3600"/>
        </w:tabs>
        <w:ind w:left="3600" w:hanging="360"/>
      </w:pPr>
      <w:rPr>
        <w:rFonts w:ascii="Courier New" w:hAnsi="Courier New"/>
      </w:rPr>
    </w:lvl>
    <w:lvl w:ilvl="5" w:tplc="F8963ED2">
      <w:start w:val="1"/>
      <w:numFmt w:val="bullet"/>
      <w:lvlText w:val=""/>
      <w:lvlJc w:val="left"/>
      <w:pPr>
        <w:tabs>
          <w:tab w:val="num" w:pos="4320"/>
        </w:tabs>
        <w:ind w:left="4320" w:hanging="360"/>
      </w:pPr>
      <w:rPr>
        <w:rFonts w:ascii="Wingdings" w:hAnsi="Wingdings"/>
      </w:rPr>
    </w:lvl>
    <w:lvl w:ilvl="6" w:tplc="5C5A4364">
      <w:start w:val="1"/>
      <w:numFmt w:val="bullet"/>
      <w:lvlText w:val=""/>
      <w:lvlJc w:val="left"/>
      <w:pPr>
        <w:tabs>
          <w:tab w:val="num" w:pos="5040"/>
        </w:tabs>
        <w:ind w:left="5040" w:hanging="360"/>
      </w:pPr>
      <w:rPr>
        <w:rFonts w:ascii="Symbol" w:hAnsi="Symbol"/>
      </w:rPr>
    </w:lvl>
    <w:lvl w:ilvl="7" w:tplc="DBC83672">
      <w:start w:val="1"/>
      <w:numFmt w:val="bullet"/>
      <w:lvlText w:val="o"/>
      <w:lvlJc w:val="left"/>
      <w:pPr>
        <w:tabs>
          <w:tab w:val="num" w:pos="5760"/>
        </w:tabs>
        <w:ind w:left="5760" w:hanging="360"/>
      </w:pPr>
      <w:rPr>
        <w:rFonts w:ascii="Courier New" w:hAnsi="Courier New"/>
      </w:rPr>
    </w:lvl>
    <w:lvl w:ilvl="8" w:tplc="1DC8D57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CB013DA">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153C1F82">
      <w:start w:val="1"/>
      <w:numFmt w:val="bullet"/>
      <w:lvlText w:val="o"/>
      <w:lvlJc w:val="left"/>
      <w:pPr>
        <w:tabs>
          <w:tab w:val="num" w:pos="1440"/>
        </w:tabs>
        <w:ind w:left="1440" w:hanging="360"/>
      </w:pPr>
      <w:rPr>
        <w:rFonts w:ascii="Courier New" w:hAnsi="Courier New"/>
      </w:rPr>
    </w:lvl>
    <w:lvl w:ilvl="2" w:tplc="0DD86CEA">
      <w:start w:val="1"/>
      <w:numFmt w:val="bullet"/>
      <w:lvlText w:val=""/>
      <w:lvlJc w:val="left"/>
      <w:pPr>
        <w:tabs>
          <w:tab w:val="num" w:pos="2160"/>
        </w:tabs>
        <w:ind w:left="2160" w:hanging="360"/>
      </w:pPr>
      <w:rPr>
        <w:rFonts w:ascii="Wingdings" w:hAnsi="Wingdings"/>
      </w:rPr>
    </w:lvl>
    <w:lvl w:ilvl="3" w:tplc="ADD68722">
      <w:start w:val="1"/>
      <w:numFmt w:val="bullet"/>
      <w:lvlText w:val=""/>
      <w:lvlJc w:val="left"/>
      <w:pPr>
        <w:tabs>
          <w:tab w:val="num" w:pos="2880"/>
        </w:tabs>
        <w:ind w:left="2880" w:hanging="360"/>
      </w:pPr>
      <w:rPr>
        <w:rFonts w:ascii="Symbol" w:hAnsi="Symbol"/>
      </w:rPr>
    </w:lvl>
    <w:lvl w:ilvl="4" w:tplc="C082BB30">
      <w:start w:val="1"/>
      <w:numFmt w:val="bullet"/>
      <w:lvlText w:val="o"/>
      <w:lvlJc w:val="left"/>
      <w:pPr>
        <w:tabs>
          <w:tab w:val="num" w:pos="3600"/>
        </w:tabs>
        <w:ind w:left="3600" w:hanging="360"/>
      </w:pPr>
      <w:rPr>
        <w:rFonts w:ascii="Courier New" w:hAnsi="Courier New"/>
      </w:rPr>
    </w:lvl>
    <w:lvl w:ilvl="5" w:tplc="D10E9618">
      <w:start w:val="1"/>
      <w:numFmt w:val="bullet"/>
      <w:lvlText w:val=""/>
      <w:lvlJc w:val="left"/>
      <w:pPr>
        <w:tabs>
          <w:tab w:val="num" w:pos="4320"/>
        </w:tabs>
        <w:ind w:left="4320" w:hanging="360"/>
      </w:pPr>
      <w:rPr>
        <w:rFonts w:ascii="Wingdings" w:hAnsi="Wingdings"/>
      </w:rPr>
    </w:lvl>
    <w:lvl w:ilvl="6" w:tplc="C2548714">
      <w:start w:val="1"/>
      <w:numFmt w:val="bullet"/>
      <w:lvlText w:val=""/>
      <w:lvlJc w:val="left"/>
      <w:pPr>
        <w:tabs>
          <w:tab w:val="num" w:pos="5040"/>
        </w:tabs>
        <w:ind w:left="5040" w:hanging="360"/>
      </w:pPr>
      <w:rPr>
        <w:rFonts w:ascii="Symbol" w:hAnsi="Symbol"/>
      </w:rPr>
    </w:lvl>
    <w:lvl w:ilvl="7" w:tplc="9DBEEDD0">
      <w:start w:val="1"/>
      <w:numFmt w:val="bullet"/>
      <w:lvlText w:val="o"/>
      <w:lvlJc w:val="left"/>
      <w:pPr>
        <w:tabs>
          <w:tab w:val="num" w:pos="5760"/>
        </w:tabs>
        <w:ind w:left="5760" w:hanging="360"/>
      </w:pPr>
      <w:rPr>
        <w:rFonts w:ascii="Courier New" w:hAnsi="Courier New"/>
      </w:rPr>
    </w:lvl>
    <w:lvl w:ilvl="8" w:tplc="057248B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288875A0">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FE3288F4">
      <w:start w:val="1"/>
      <w:numFmt w:val="bullet"/>
      <w:lvlText w:val="o"/>
      <w:lvlJc w:val="left"/>
      <w:pPr>
        <w:tabs>
          <w:tab w:val="num" w:pos="1440"/>
        </w:tabs>
        <w:ind w:left="1440" w:hanging="360"/>
      </w:pPr>
      <w:rPr>
        <w:rFonts w:ascii="Courier New" w:hAnsi="Courier New"/>
      </w:rPr>
    </w:lvl>
    <w:lvl w:ilvl="2" w:tplc="606228DE">
      <w:start w:val="1"/>
      <w:numFmt w:val="bullet"/>
      <w:lvlText w:val=""/>
      <w:lvlJc w:val="left"/>
      <w:pPr>
        <w:tabs>
          <w:tab w:val="num" w:pos="2160"/>
        </w:tabs>
        <w:ind w:left="2160" w:hanging="360"/>
      </w:pPr>
      <w:rPr>
        <w:rFonts w:ascii="Wingdings" w:hAnsi="Wingdings"/>
      </w:rPr>
    </w:lvl>
    <w:lvl w:ilvl="3" w:tplc="4864AFC8">
      <w:start w:val="1"/>
      <w:numFmt w:val="bullet"/>
      <w:lvlText w:val=""/>
      <w:lvlJc w:val="left"/>
      <w:pPr>
        <w:tabs>
          <w:tab w:val="num" w:pos="2880"/>
        </w:tabs>
        <w:ind w:left="2880" w:hanging="360"/>
      </w:pPr>
      <w:rPr>
        <w:rFonts w:ascii="Symbol" w:hAnsi="Symbol"/>
      </w:rPr>
    </w:lvl>
    <w:lvl w:ilvl="4" w:tplc="2EBC41A2">
      <w:start w:val="1"/>
      <w:numFmt w:val="bullet"/>
      <w:lvlText w:val="o"/>
      <w:lvlJc w:val="left"/>
      <w:pPr>
        <w:tabs>
          <w:tab w:val="num" w:pos="3600"/>
        </w:tabs>
        <w:ind w:left="3600" w:hanging="360"/>
      </w:pPr>
      <w:rPr>
        <w:rFonts w:ascii="Courier New" w:hAnsi="Courier New"/>
      </w:rPr>
    </w:lvl>
    <w:lvl w:ilvl="5" w:tplc="55867FBE">
      <w:start w:val="1"/>
      <w:numFmt w:val="bullet"/>
      <w:lvlText w:val=""/>
      <w:lvlJc w:val="left"/>
      <w:pPr>
        <w:tabs>
          <w:tab w:val="num" w:pos="4320"/>
        </w:tabs>
        <w:ind w:left="4320" w:hanging="360"/>
      </w:pPr>
      <w:rPr>
        <w:rFonts w:ascii="Wingdings" w:hAnsi="Wingdings"/>
      </w:rPr>
    </w:lvl>
    <w:lvl w:ilvl="6" w:tplc="0C6A93AC">
      <w:start w:val="1"/>
      <w:numFmt w:val="bullet"/>
      <w:lvlText w:val=""/>
      <w:lvlJc w:val="left"/>
      <w:pPr>
        <w:tabs>
          <w:tab w:val="num" w:pos="5040"/>
        </w:tabs>
        <w:ind w:left="5040" w:hanging="360"/>
      </w:pPr>
      <w:rPr>
        <w:rFonts w:ascii="Symbol" w:hAnsi="Symbol"/>
      </w:rPr>
    </w:lvl>
    <w:lvl w:ilvl="7" w:tplc="9E1E5D42">
      <w:start w:val="1"/>
      <w:numFmt w:val="bullet"/>
      <w:lvlText w:val="o"/>
      <w:lvlJc w:val="left"/>
      <w:pPr>
        <w:tabs>
          <w:tab w:val="num" w:pos="5760"/>
        </w:tabs>
        <w:ind w:left="5760" w:hanging="360"/>
      </w:pPr>
      <w:rPr>
        <w:rFonts w:ascii="Courier New" w:hAnsi="Courier New"/>
      </w:rPr>
    </w:lvl>
    <w:lvl w:ilvl="8" w:tplc="4050D11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91C5846">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C6684084">
      <w:start w:val="1"/>
      <w:numFmt w:val="bullet"/>
      <w:lvlText w:val="o"/>
      <w:lvlJc w:val="left"/>
      <w:pPr>
        <w:tabs>
          <w:tab w:val="num" w:pos="1440"/>
        </w:tabs>
        <w:ind w:left="1440" w:hanging="360"/>
      </w:pPr>
      <w:rPr>
        <w:rFonts w:ascii="Courier New" w:hAnsi="Courier New"/>
      </w:rPr>
    </w:lvl>
    <w:lvl w:ilvl="2" w:tplc="83E211FA">
      <w:start w:val="1"/>
      <w:numFmt w:val="bullet"/>
      <w:lvlText w:val=""/>
      <w:lvlJc w:val="left"/>
      <w:pPr>
        <w:tabs>
          <w:tab w:val="num" w:pos="2160"/>
        </w:tabs>
        <w:ind w:left="2160" w:hanging="360"/>
      </w:pPr>
      <w:rPr>
        <w:rFonts w:ascii="Wingdings" w:hAnsi="Wingdings"/>
      </w:rPr>
    </w:lvl>
    <w:lvl w:ilvl="3" w:tplc="1B7E23D2">
      <w:start w:val="1"/>
      <w:numFmt w:val="bullet"/>
      <w:lvlText w:val=""/>
      <w:lvlJc w:val="left"/>
      <w:pPr>
        <w:tabs>
          <w:tab w:val="num" w:pos="2880"/>
        </w:tabs>
        <w:ind w:left="2880" w:hanging="360"/>
      </w:pPr>
      <w:rPr>
        <w:rFonts w:ascii="Symbol" w:hAnsi="Symbol"/>
      </w:rPr>
    </w:lvl>
    <w:lvl w:ilvl="4" w:tplc="75BE607E">
      <w:start w:val="1"/>
      <w:numFmt w:val="bullet"/>
      <w:lvlText w:val="o"/>
      <w:lvlJc w:val="left"/>
      <w:pPr>
        <w:tabs>
          <w:tab w:val="num" w:pos="3600"/>
        </w:tabs>
        <w:ind w:left="3600" w:hanging="360"/>
      </w:pPr>
      <w:rPr>
        <w:rFonts w:ascii="Courier New" w:hAnsi="Courier New"/>
      </w:rPr>
    </w:lvl>
    <w:lvl w:ilvl="5" w:tplc="45DC7FF6">
      <w:start w:val="1"/>
      <w:numFmt w:val="bullet"/>
      <w:lvlText w:val=""/>
      <w:lvlJc w:val="left"/>
      <w:pPr>
        <w:tabs>
          <w:tab w:val="num" w:pos="4320"/>
        </w:tabs>
        <w:ind w:left="4320" w:hanging="360"/>
      </w:pPr>
      <w:rPr>
        <w:rFonts w:ascii="Wingdings" w:hAnsi="Wingdings"/>
      </w:rPr>
    </w:lvl>
    <w:lvl w:ilvl="6" w:tplc="84786002">
      <w:start w:val="1"/>
      <w:numFmt w:val="bullet"/>
      <w:lvlText w:val=""/>
      <w:lvlJc w:val="left"/>
      <w:pPr>
        <w:tabs>
          <w:tab w:val="num" w:pos="5040"/>
        </w:tabs>
        <w:ind w:left="5040" w:hanging="360"/>
      </w:pPr>
      <w:rPr>
        <w:rFonts w:ascii="Symbol" w:hAnsi="Symbol"/>
      </w:rPr>
    </w:lvl>
    <w:lvl w:ilvl="7" w:tplc="8668CEE8">
      <w:start w:val="1"/>
      <w:numFmt w:val="bullet"/>
      <w:lvlText w:val="o"/>
      <w:lvlJc w:val="left"/>
      <w:pPr>
        <w:tabs>
          <w:tab w:val="num" w:pos="5760"/>
        </w:tabs>
        <w:ind w:left="5760" w:hanging="360"/>
      </w:pPr>
      <w:rPr>
        <w:rFonts w:ascii="Courier New" w:hAnsi="Courier New"/>
      </w:rPr>
    </w:lvl>
    <w:lvl w:ilvl="8" w:tplc="57FA68F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A6E1074">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7500FF3A">
      <w:start w:val="1"/>
      <w:numFmt w:val="bullet"/>
      <w:lvlText w:val="o"/>
      <w:lvlJc w:val="left"/>
      <w:pPr>
        <w:tabs>
          <w:tab w:val="num" w:pos="1440"/>
        </w:tabs>
        <w:ind w:left="1440" w:hanging="360"/>
      </w:pPr>
      <w:rPr>
        <w:rFonts w:ascii="Courier New" w:hAnsi="Courier New"/>
      </w:rPr>
    </w:lvl>
    <w:lvl w:ilvl="2" w:tplc="0BD2BB64">
      <w:start w:val="1"/>
      <w:numFmt w:val="bullet"/>
      <w:lvlText w:val=""/>
      <w:lvlJc w:val="left"/>
      <w:pPr>
        <w:tabs>
          <w:tab w:val="num" w:pos="2160"/>
        </w:tabs>
        <w:ind w:left="2160" w:hanging="360"/>
      </w:pPr>
      <w:rPr>
        <w:rFonts w:ascii="Wingdings" w:hAnsi="Wingdings"/>
      </w:rPr>
    </w:lvl>
    <w:lvl w:ilvl="3" w:tplc="8D486F30">
      <w:start w:val="1"/>
      <w:numFmt w:val="bullet"/>
      <w:lvlText w:val=""/>
      <w:lvlJc w:val="left"/>
      <w:pPr>
        <w:tabs>
          <w:tab w:val="num" w:pos="2880"/>
        </w:tabs>
        <w:ind w:left="2880" w:hanging="360"/>
      </w:pPr>
      <w:rPr>
        <w:rFonts w:ascii="Symbol" w:hAnsi="Symbol"/>
      </w:rPr>
    </w:lvl>
    <w:lvl w:ilvl="4" w:tplc="137A7DB2">
      <w:start w:val="1"/>
      <w:numFmt w:val="bullet"/>
      <w:lvlText w:val="o"/>
      <w:lvlJc w:val="left"/>
      <w:pPr>
        <w:tabs>
          <w:tab w:val="num" w:pos="3600"/>
        </w:tabs>
        <w:ind w:left="3600" w:hanging="360"/>
      </w:pPr>
      <w:rPr>
        <w:rFonts w:ascii="Courier New" w:hAnsi="Courier New"/>
      </w:rPr>
    </w:lvl>
    <w:lvl w:ilvl="5" w:tplc="A8AC4634">
      <w:start w:val="1"/>
      <w:numFmt w:val="bullet"/>
      <w:lvlText w:val=""/>
      <w:lvlJc w:val="left"/>
      <w:pPr>
        <w:tabs>
          <w:tab w:val="num" w:pos="4320"/>
        </w:tabs>
        <w:ind w:left="4320" w:hanging="360"/>
      </w:pPr>
      <w:rPr>
        <w:rFonts w:ascii="Wingdings" w:hAnsi="Wingdings"/>
      </w:rPr>
    </w:lvl>
    <w:lvl w:ilvl="6" w:tplc="CCFEDE28">
      <w:start w:val="1"/>
      <w:numFmt w:val="bullet"/>
      <w:lvlText w:val=""/>
      <w:lvlJc w:val="left"/>
      <w:pPr>
        <w:tabs>
          <w:tab w:val="num" w:pos="5040"/>
        </w:tabs>
        <w:ind w:left="5040" w:hanging="360"/>
      </w:pPr>
      <w:rPr>
        <w:rFonts w:ascii="Symbol" w:hAnsi="Symbol"/>
      </w:rPr>
    </w:lvl>
    <w:lvl w:ilvl="7" w:tplc="29784A10">
      <w:start w:val="1"/>
      <w:numFmt w:val="bullet"/>
      <w:lvlText w:val="o"/>
      <w:lvlJc w:val="left"/>
      <w:pPr>
        <w:tabs>
          <w:tab w:val="num" w:pos="5760"/>
        </w:tabs>
        <w:ind w:left="5760" w:hanging="360"/>
      </w:pPr>
      <w:rPr>
        <w:rFonts w:ascii="Courier New" w:hAnsi="Courier New"/>
      </w:rPr>
    </w:lvl>
    <w:lvl w:ilvl="8" w:tplc="A9302A2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AF48D896">
      <w:start w:val="1"/>
      <w:numFmt w:val="bullet"/>
      <w:lvlText w:val="•"/>
      <w:lvlJc w:val="left"/>
      <w:pPr>
        <w:tabs>
          <w:tab w:val="num" w:pos="360"/>
        </w:tabs>
        <w:ind w:left="720" w:hanging="360"/>
      </w:pPr>
      <w:rPr>
        <w:rFonts w:ascii="Arial" w:eastAsia="Arial" w:hAnsi="Arial" w:cs="Arial"/>
        <w:b w:val="0"/>
        <w:i w:val="0"/>
        <w:strike w:val="0"/>
        <w:color w:val="000000"/>
        <w:sz w:val="22"/>
        <w:u w:val="none"/>
        <w:shd w:val="clear" w:color="auto" w:fill="FFFFFF"/>
      </w:rPr>
    </w:lvl>
    <w:lvl w:ilvl="1" w:tplc="74847C00">
      <w:start w:val="1"/>
      <w:numFmt w:val="bullet"/>
      <w:lvlText w:val="o"/>
      <w:lvlJc w:val="left"/>
      <w:pPr>
        <w:tabs>
          <w:tab w:val="num" w:pos="1440"/>
        </w:tabs>
        <w:ind w:left="1440" w:hanging="360"/>
      </w:pPr>
      <w:rPr>
        <w:rFonts w:ascii="Courier New" w:hAnsi="Courier New"/>
      </w:rPr>
    </w:lvl>
    <w:lvl w:ilvl="2" w:tplc="7B04EDAA">
      <w:start w:val="1"/>
      <w:numFmt w:val="bullet"/>
      <w:lvlText w:val=""/>
      <w:lvlJc w:val="left"/>
      <w:pPr>
        <w:tabs>
          <w:tab w:val="num" w:pos="2160"/>
        </w:tabs>
        <w:ind w:left="2160" w:hanging="360"/>
      </w:pPr>
      <w:rPr>
        <w:rFonts w:ascii="Wingdings" w:hAnsi="Wingdings"/>
      </w:rPr>
    </w:lvl>
    <w:lvl w:ilvl="3" w:tplc="3162D1DA">
      <w:start w:val="1"/>
      <w:numFmt w:val="bullet"/>
      <w:lvlText w:val=""/>
      <w:lvlJc w:val="left"/>
      <w:pPr>
        <w:tabs>
          <w:tab w:val="num" w:pos="2880"/>
        </w:tabs>
        <w:ind w:left="2880" w:hanging="360"/>
      </w:pPr>
      <w:rPr>
        <w:rFonts w:ascii="Symbol" w:hAnsi="Symbol"/>
      </w:rPr>
    </w:lvl>
    <w:lvl w:ilvl="4" w:tplc="50624D66">
      <w:start w:val="1"/>
      <w:numFmt w:val="bullet"/>
      <w:lvlText w:val="o"/>
      <w:lvlJc w:val="left"/>
      <w:pPr>
        <w:tabs>
          <w:tab w:val="num" w:pos="3600"/>
        </w:tabs>
        <w:ind w:left="3600" w:hanging="360"/>
      </w:pPr>
      <w:rPr>
        <w:rFonts w:ascii="Courier New" w:hAnsi="Courier New"/>
      </w:rPr>
    </w:lvl>
    <w:lvl w:ilvl="5" w:tplc="AF2A53E0">
      <w:start w:val="1"/>
      <w:numFmt w:val="bullet"/>
      <w:lvlText w:val=""/>
      <w:lvlJc w:val="left"/>
      <w:pPr>
        <w:tabs>
          <w:tab w:val="num" w:pos="4320"/>
        </w:tabs>
        <w:ind w:left="4320" w:hanging="360"/>
      </w:pPr>
      <w:rPr>
        <w:rFonts w:ascii="Wingdings" w:hAnsi="Wingdings"/>
      </w:rPr>
    </w:lvl>
    <w:lvl w:ilvl="6" w:tplc="2DD80812">
      <w:start w:val="1"/>
      <w:numFmt w:val="bullet"/>
      <w:lvlText w:val=""/>
      <w:lvlJc w:val="left"/>
      <w:pPr>
        <w:tabs>
          <w:tab w:val="num" w:pos="5040"/>
        </w:tabs>
        <w:ind w:left="5040" w:hanging="360"/>
      </w:pPr>
      <w:rPr>
        <w:rFonts w:ascii="Symbol" w:hAnsi="Symbol"/>
      </w:rPr>
    </w:lvl>
    <w:lvl w:ilvl="7" w:tplc="FE2EC1A4">
      <w:start w:val="1"/>
      <w:numFmt w:val="bullet"/>
      <w:lvlText w:val="o"/>
      <w:lvlJc w:val="left"/>
      <w:pPr>
        <w:tabs>
          <w:tab w:val="num" w:pos="5760"/>
        </w:tabs>
        <w:ind w:left="5760" w:hanging="360"/>
      </w:pPr>
      <w:rPr>
        <w:rFonts w:ascii="Courier New" w:hAnsi="Courier New"/>
      </w:rPr>
    </w:lvl>
    <w:lvl w:ilvl="8" w:tplc="587048B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54FEF34C">
      <w:start w:val="1"/>
      <w:numFmt w:val="bullet"/>
      <w:lvlText w:val="•"/>
      <w:lvlJc w:val="left"/>
      <w:pPr>
        <w:tabs>
          <w:tab w:val="num" w:pos="360"/>
        </w:tabs>
        <w:ind w:left="720" w:hanging="360"/>
      </w:pPr>
      <w:rPr>
        <w:rFonts w:ascii="Arial" w:eastAsia="Arial" w:hAnsi="Arial" w:cs="Arial"/>
        <w:b w:val="0"/>
        <w:i w:val="0"/>
        <w:strike w:val="0"/>
        <w:sz w:val="22"/>
      </w:rPr>
    </w:lvl>
    <w:lvl w:ilvl="1" w:tplc="60F40D80">
      <w:start w:val="1"/>
      <w:numFmt w:val="bullet"/>
      <w:lvlText w:val="o"/>
      <w:lvlJc w:val="left"/>
      <w:pPr>
        <w:tabs>
          <w:tab w:val="num" w:pos="1440"/>
        </w:tabs>
        <w:ind w:left="1440" w:hanging="360"/>
      </w:pPr>
      <w:rPr>
        <w:rFonts w:ascii="Courier New" w:hAnsi="Courier New"/>
      </w:rPr>
    </w:lvl>
    <w:lvl w:ilvl="2" w:tplc="4ABEBDB0">
      <w:start w:val="1"/>
      <w:numFmt w:val="bullet"/>
      <w:lvlText w:val=""/>
      <w:lvlJc w:val="left"/>
      <w:pPr>
        <w:tabs>
          <w:tab w:val="num" w:pos="2160"/>
        </w:tabs>
        <w:ind w:left="2160" w:hanging="360"/>
      </w:pPr>
      <w:rPr>
        <w:rFonts w:ascii="Wingdings" w:hAnsi="Wingdings"/>
      </w:rPr>
    </w:lvl>
    <w:lvl w:ilvl="3" w:tplc="AD144C84">
      <w:start w:val="1"/>
      <w:numFmt w:val="bullet"/>
      <w:lvlText w:val=""/>
      <w:lvlJc w:val="left"/>
      <w:pPr>
        <w:tabs>
          <w:tab w:val="num" w:pos="2880"/>
        </w:tabs>
        <w:ind w:left="2880" w:hanging="360"/>
      </w:pPr>
      <w:rPr>
        <w:rFonts w:ascii="Symbol" w:hAnsi="Symbol"/>
      </w:rPr>
    </w:lvl>
    <w:lvl w:ilvl="4" w:tplc="E29ABF30">
      <w:start w:val="1"/>
      <w:numFmt w:val="bullet"/>
      <w:lvlText w:val="o"/>
      <w:lvlJc w:val="left"/>
      <w:pPr>
        <w:tabs>
          <w:tab w:val="num" w:pos="3600"/>
        </w:tabs>
        <w:ind w:left="3600" w:hanging="360"/>
      </w:pPr>
      <w:rPr>
        <w:rFonts w:ascii="Courier New" w:hAnsi="Courier New"/>
      </w:rPr>
    </w:lvl>
    <w:lvl w:ilvl="5" w:tplc="1E8C3E3C">
      <w:start w:val="1"/>
      <w:numFmt w:val="bullet"/>
      <w:lvlText w:val=""/>
      <w:lvlJc w:val="left"/>
      <w:pPr>
        <w:tabs>
          <w:tab w:val="num" w:pos="4320"/>
        </w:tabs>
        <w:ind w:left="4320" w:hanging="360"/>
      </w:pPr>
      <w:rPr>
        <w:rFonts w:ascii="Wingdings" w:hAnsi="Wingdings"/>
      </w:rPr>
    </w:lvl>
    <w:lvl w:ilvl="6" w:tplc="FB3AAAFA">
      <w:start w:val="1"/>
      <w:numFmt w:val="bullet"/>
      <w:lvlText w:val=""/>
      <w:lvlJc w:val="left"/>
      <w:pPr>
        <w:tabs>
          <w:tab w:val="num" w:pos="5040"/>
        </w:tabs>
        <w:ind w:left="5040" w:hanging="360"/>
      </w:pPr>
      <w:rPr>
        <w:rFonts w:ascii="Symbol" w:hAnsi="Symbol"/>
      </w:rPr>
    </w:lvl>
    <w:lvl w:ilvl="7" w:tplc="BB10D712">
      <w:start w:val="1"/>
      <w:numFmt w:val="bullet"/>
      <w:lvlText w:val="o"/>
      <w:lvlJc w:val="left"/>
      <w:pPr>
        <w:tabs>
          <w:tab w:val="num" w:pos="5760"/>
        </w:tabs>
        <w:ind w:left="5760" w:hanging="360"/>
      </w:pPr>
      <w:rPr>
        <w:rFonts w:ascii="Courier New" w:hAnsi="Courier New"/>
      </w:rPr>
    </w:lvl>
    <w:lvl w:ilvl="8" w:tplc="6B260C7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E3469680">
      <w:start w:val="1"/>
      <w:numFmt w:val="bullet"/>
      <w:lvlText w:val="•"/>
      <w:lvlJc w:val="left"/>
      <w:pPr>
        <w:tabs>
          <w:tab w:val="num" w:pos="360"/>
        </w:tabs>
        <w:ind w:left="720" w:hanging="360"/>
      </w:pPr>
      <w:rPr>
        <w:rFonts w:ascii="Arial" w:eastAsia="Arial" w:hAnsi="Arial" w:cs="Arial"/>
        <w:b w:val="0"/>
        <w:i w:val="0"/>
        <w:strike w:val="0"/>
        <w:sz w:val="22"/>
      </w:rPr>
    </w:lvl>
    <w:lvl w:ilvl="1" w:tplc="247CFBF8">
      <w:start w:val="1"/>
      <w:numFmt w:val="bullet"/>
      <w:lvlText w:val="o"/>
      <w:lvlJc w:val="left"/>
      <w:pPr>
        <w:tabs>
          <w:tab w:val="num" w:pos="1440"/>
        </w:tabs>
        <w:ind w:left="1440" w:hanging="360"/>
      </w:pPr>
      <w:rPr>
        <w:rFonts w:ascii="Courier New" w:hAnsi="Courier New"/>
      </w:rPr>
    </w:lvl>
    <w:lvl w:ilvl="2" w:tplc="0D78FA12">
      <w:start w:val="1"/>
      <w:numFmt w:val="bullet"/>
      <w:lvlText w:val=""/>
      <w:lvlJc w:val="left"/>
      <w:pPr>
        <w:tabs>
          <w:tab w:val="num" w:pos="2160"/>
        </w:tabs>
        <w:ind w:left="2160" w:hanging="360"/>
      </w:pPr>
      <w:rPr>
        <w:rFonts w:ascii="Wingdings" w:hAnsi="Wingdings"/>
      </w:rPr>
    </w:lvl>
    <w:lvl w:ilvl="3" w:tplc="41445650">
      <w:start w:val="1"/>
      <w:numFmt w:val="bullet"/>
      <w:lvlText w:val=""/>
      <w:lvlJc w:val="left"/>
      <w:pPr>
        <w:tabs>
          <w:tab w:val="num" w:pos="2880"/>
        </w:tabs>
        <w:ind w:left="2880" w:hanging="360"/>
      </w:pPr>
      <w:rPr>
        <w:rFonts w:ascii="Symbol" w:hAnsi="Symbol"/>
      </w:rPr>
    </w:lvl>
    <w:lvl w:ilvl="4" w:tplc="D36432EE">
      <w:start w:val="1"/>
      <w:numFmt w:val="bullet"/>
      <w:lvlText w:val="o"/>
      <w:lvlJc w:val="left"/>
      <w:pPr>
        <w:tabs>
          <w:tab w:val="num" w:pos="3600"/>
        </w:tabs>
        <w:ind w:left="3600" w:hanging="360"/>
      </w:pPr>
      <w:rPr>
        <w:rFonts w:ascii="Courier New" w:hAnsi="Courier New"/>
      </w:rPr>
    </w:lvl>
    <w:lvl w:ilvl="5" w:tplc="20747AD4">
      <w:start w:val="1"/>
      <w:numFmt w:val="bullet"/>
      <w:lvlText w:val=""/>
      <w:lvlJc w:val="left"/>
      <w:pPr>
        <w:tabs>
          <w:tab w:val="num" w:pos="4320"/>
        </w:tabs>
        <w:ind w:left="4320" w:hanging="360"/>
      </w:pPr>
      <w:rPr>
        <w:rFonts w:ascii="Wingdings" w:hAnsi="Wingdings"/>
      </w:rPr>
    </w:lvl>
    <w:lvl w:ilvl="6" w:tplc="AD16BE80">
      <w:start w:val="1"/>
      <w:numFmt w:val="bullet"/>
      <w:lvlText w:val=""/>
      <w:lvlJc w:val="left"/>
      <w:pPr>
        <w:tabs>
          <w:tab w:val="num" w:pos="5040"/>
        </w:tabs>
        <w:ind w:left="5040" w:hanging="360"/>
      </w:pPr>
      <w:rPr>
        <w:rFonts w:ascii="Symbol" w:hAnsi="Symbol"/>
      </w:rPr>
    </w:lvl>
    <w:lvl w:ilvl="7" w:tplc="D41819CE">
      <w:start w:val="1"/>
      <w:numFmt w:val="bullet"/>
      <w:lvlText w:val="o"/>
      <w:lvlJc w:val="left"/>
      <w:pPr>
        <w:tabs>
          <w:tab w:val="num" w:pos="5760"/>
        </w:tabs>
        <w:ind w:left="5760" w:hanging="360"/>
      </w:pPr>
      <w:rPr>
        <w:rFonts w:ascii="Courier New" w:hAnsi="Courier New"/>
      </w:rPr>
    </w:lvl>
    <w:lvl w:ilvl="8" w:tplc="657CBFA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A16C49B8">
      <w:start w:val="1"/>
      <w:numFmt w:val="bullet"/>
      <w:lvlText w:val="•"/>
      <w:lvlJc w:val="left"/>
      <w:pPr>
        <w:tabs>
          <w:tab w:val="num" w:pos="360"/>
        </w:tabs>
        <w:ind w:left="720" w:hanging="360"/>
      </w:pPr>
      <w:rPr>
        <w:rFonts w:ascii="Arial" w:eastAsia="Arial" w:hAnsi="Arial" w:cs="Arial"/>
        <w:b w:val="0"/>
        <w:i w:val="0"/>
        <w:strike w:val="0"/>
        <w:sz w:val="22"/>
      </w:rPr>
    </w:lvl>
    <w:lvl w:ilvl="1" w:tplc="8102CC36">
      <w:start w:val="1"/>
      <w:numFmt w:val="bullet"/>
      <w:lvlText w:val="o"/>
      <w:lvlJc w:val="left"/>
      <w:pPr>
        <w:tabs>
          <w:tab w:val="num" w:pos="1440"/>
        </w:tabs>
        <w:ind w:left="1440" w:hanging="360"/>
      </w:pPr>
      <w:rPr>
        <w:rFonts w:ascii="Courier New" w:hAnsi="Courier New"/>
      </w:rPr>
    </w:lvl>
    <w:lvl w:ilvl="2" w:tplc="E21A9906">
      <w:start w:val="1"/>
      <w:numFmt w:val="bullet"/>
      <w:lvlText w:val=""/>
      <w:lvlJc w:val="left"/>
      <w:pPr>
        <w:tabs>
          <w:tab w:val="num" w:pos="2160"/>
        </w:tabs>
        <w:ind w:left="2160" w:hanging="360"/>
      </w:pPr>
      <w:rPr>
        <w:rFonts w:ascii="Wingdings" w:hAnsi="Wingdings"/>
      </w:rPr>
    </w:lvl>
    <w:lvl w:ilvl="3" w:tplc="EBD4AC62">
      <w:start w:val="1"/>
      <w:numFmt w:val="bullet"/>
      <w:lvlText w:val=""/>
      <w:lvlJc w:val="left"/>
      <w:pPr>
        <w:tabs>
          <w:tab w:val="num" w:pos="2880"/>
        </w:tabs>
        <w:ind w:left="2880" w:hanging="360"/>
      </w:pPr>
      <w:rPr>
        <w:rFonts w:ascii="Symbol" w:hAnsi="Symbol"/>
      </w:rPr>
    </w:lvl>
    <w:lvl w:ilvl="4" w:tplc="BA2CD480">
      <w:start w:val="1"/>
      <w:numFmt w:val="bullet"/>
      <w:lvlText w:val="o"/>
      <w:lvlJc w:val="left"/>
      <w:pPr>
        <w:tabs>
          <w:tab w:val="num" w:pos="3600"/>
        </w:tabs>
        <w:ind w:left="3600" w:hanging="360"/>
      </w:pPr>
      <w:rPr>
        <w:rFonts w:ascii="Courier New" w:hAnsi="Courier New"/>
      </w:rPr>
    </w:lvl>
    <w:lvl w:ilvl="5" w:tplc="CE18101A">
      <w:start w:val="1"/>
      <w:numFmt w:val="bullet"/>
      <w:lvlText w:val=""/>
      <w:lvlJc w:val="left"/>
      <w:pPr>
        <w:tabs>
          <w:tab w:val="num" w:pos="4320"/>
        </w:tabs>
        <w:ind w:left="4320" w:hanging="360"/>
      </w:pPr>
      <w:rPr>
        <w:rFonts w:ascii="Wingdings" w:hAnsi="Wingdings"/>
      </w:rPr>
    </w:lvl>
    <w:lvl w:ilvl="6" w:tplc="3BAA373E">
      <w:start w:val="1"/>
      <w:numFmt w:val="bullet"/>
      <w:lvlText w:val=""/>
      <w:lvlJc w:val="left"/>
      <w:pPr>
        <w:tabs>
          <w:tab w:val="num" w:pos="5040"/>
        </w:tabs>
        <w:ind w:left="5040" w:hanging="360"/>
      </w:pPr>
      <w:rPr>
        <w:rFonts w:ascii="Symbol" w:hAnsi="Symbol"/>
      </w:rPr>
    </w:lvl>
    <w:lvl w:ilvl="7" w:tplc="C6FA1E36">
      <w:start w:val="1"/>
      <w:numFmt w:val="bullet"/>
      <w:lvlText w:val="o"/>
      <w:lvlJc w:val="left"/>
      <w:pPr>
        <w:tabs>
          <w:tab w:val="num" w:pos="5760"/>
        </w:tabs>
        <w:ind w:left="5760" w:hanging="360"/>
      </w:pPr>
      <w:rPr>
        <w:rFonts w:ascii="Courier New" w:hAnsi="Courier New"/>
      </w:rPr>
    </w:lvl>
    <w:lvl w:ilvl="8" w:tplc="41E2C99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95CC972">
      <w:start w:val="1"/>
      <w:numFmt w:val="bullet"/>
      <w:lvlText w:val="•"/>
      <w:lvlJc w:val="left"/>
      <w:pPr>
        <w:tabs>
          <w:tab w:val="num" w:pos="360"/>
        </w:tabs>
        <w:ind w:left="720" w:hanging="360"/>
      </w:pPr>
      <w:rPr>
        <w:rFonts w:ascii="Arial" w:eastAsia="Arial" w:hAnsi="Arial" w:cs="Arial"/>
        <w:b w:val="0"/>
        <w:i w:val="0"/>
        <w:strike w:val="0"/>
        <w:sz w:val="22"/>
      </w:rPr>
    </w:lvl>
    <w:lvl w:ilvl="1" w:tplc="D12E8B98">
      <w:start w:val="1"/>
      <w:numFmt w:val="bullet"/>
      <w:lvlText w:val="o"/>
      <w:lvlJc w:val="left"/>
      <w:pPr>
        <w:tabs>
          <w:tab w:val="num" w:pos="1440"/>
        </w:tabs>
        <w:ind w:left="1440" w:hanging="360"/>
      </w:pPr>
      <w:rPr>
        <w:rFonts w:ascii="Courier New" w:hAnsi="Courier New"/>
      </w:rPr>
    </w:lvl>
    <w:lvl w:ilvl="2" w:tplc="D1321D20">
      <w:start w:val="1"/>
      <w:numFmt w:val="bullet"/>
      <w:lvlText w:val=""/>
      <w:lvlJc w:val="left"/>
      <w:pPr>
        <w:tabs>
          <w:tab w:val="num" w:pos="2160"/>
        </w:tabs>
        <w:ind w:left="2160" w:hanging="360"/>
      </w:pPr>
      <w:rPr>
        <w:rFonts w:ascii="Wingdings" w:hAnsi="Wingdings"/>
      </w:rPr>
    </w:lvl>
    <w:lvl w:ilvl="3" w:tplc="9D0426EE">
      <w:start w:val="1"/>
      <w:numFmt w:val="bullet"/>
      <w:lvlText w:val=""/>
      <w:lvlJc w:val="left"/>
      <w:pPr>
        <w:tabs>
          <w:tab w:val="num" w:pos="2880"/>
        </w:tabs>
        <w:ind w:left="2880" w:hanging="360"/>
      </w:pPr>
      <w:rPr>
        <w:rFonts w:ascii="Symbol" w:hAnsi="Symbol"/>
      </w:rPr>
    </w:lvl>
    <w:lvl w:ilvl="4" w:tplc="E1EE2586">
      <w:start w:val="1"/>
      <w:numFmt w:val="bullet"/>
      <w:lvlText w:val="o"/>
      <w:lvlJc w:val="left"/>
      <w:pPr>
        <w:tabs>
          <w:tab w:val="num" w:pos="3600"/>
        </w:tabs>
        <w:ind w:left="3600" w:hanging="360"/>
      </w:pPr>
      <w:rPr>
        <w:rFonts w:ascii="Courier New" w:hAnsi="Courier New"/>
      </w:rPr>
    </w:lvl>
    <w:lvl w:ilvl="5" w:tplc="CFBCDBCC">
      <w:start w:val="1"/>
      <w:numFmt w:val="bullet"/>
      <w:lvlText w:val=""/>
      <w:lvlJc w:val="left"/>
      <w:pPr>
        <w:tabs>
          <w:tab w:val="num" w:pos="4320"/>
        </w:tabs>
        <w:ind w:left="4320" w:hanging="360"/>
      </w:pPr>
      <w:rPr>
        <w:rFonts w:ascii="Wingdings" w:hAnsi="Wingdings"/>
      </w:rPr>
    </w:lvl>
    <w:lvl w:ilvl="6" w:tplc="D0F60798">
      <w:start w:val="1"/>
      <w:numFmt w:val="bullet"/>
      <w:lvlText w:val=""/>
      <w:lvlJc w:val="left"/>
      <w:pPr>
        <w:tabs>
          <w:tab w:val="num" w:pos="5040"/>
        </w:tabs>
        <w:ind w:left="5040" w:hanging="360"/>
      </w:pPr>
      <w:rPr>
        <w:rFonts w:ascii="Symbol" w:hAnsi="Symbol"/>
      </w:rPr>
    </w:lvl>
    <w:lvl w:ilvl="7" w:tplc="D12C3736">
      <w:start w:val="1"/>
      <w:numFmt w:val="bullet"/>
      <w:lvlText w:val="o"/>
      <w:lvlJc w:val="left"/>
      <w:pPr>
        <w:tabs>
          <w:tab w:val="num" w:pos="5760"/>
        </w:tabs>
        <w:ind w:left="5760" w:hanging="360"/>
      </w:pPr>
      <w:rPr>
        <w:rFonts w:ascii="Courier New" w:hAnsi="Courier New"/>
      </w:rPr>
    </w:lvl>
    <w:lvl w:ilvl="8" w:tplc="72162AE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0862BAC">
      <w:start w:val="1"/>
      <w:numFmt w:val="bullet"/>
      <w:lvlText w:val="•"/>
      <w:lvlJc w:val="left"/>
      <w:pPr>
        <w:tabs>
          <w:tab w:val="num" w:pos="360"/>
        </w:tabs>
        <w:ind w:left="720" w:hanging="360"/>
      </w:pPr>
      <w:rPr>
        <w:rFonts w:ascii="Arial" w:eastAsia="Arial" w:hAnsi="Arial" w:cs="Arial"/>
        <w:b w:val="0"/>
        <w:i w:val="0"/>
        <w:strike w:val="0"/>
        <w:sz w:val="22"/>
      </w:rPr>
    </w:lvl>
    <w:lvl w:ilvl="1" w:tplc="D6EA4B00">
      <w:start w:val="1"/>
      <w:numFmt w:val="bullet"/>
      <w:lvlText w:val="o"/>
      <w:lvlJc w:val="left"/>
      <w:pPr>
        <w:tabs>
          <w:tab w:val="num" w:pos="1440"/>
        </w:tabs>
        <w:ind w:left="1440" w:hanging="360"/>
      </w:pPr>
      <w:rPr>
        <w:rFonts w:ascii="Courier New" w:hAnsi="Courier New"/>
      </w:rPr>
    </w:lvl>
    <w:lvl w:ilvl="2" w:tplc="D1B47E5E">
      <w:start w:val="1"/>
      <w:numFmt w:val="bullet"/>
      <w:lvlText w:val=""/>
      <w:lvlJc w:val="left"/>
      <w:pPr>
        <w:tabs>
          <w:tab w:val="num" w:pos="2160"/>
        </w:tabs>
        <w:ind w:left="2160" w:hanging="360"/>
      </w:pPr>
      <w:rPr>
        <w:rFonts w:ascii="Wingdings" w:hAnsi="Wingdings"/>
      </w:rPr>
    </w:lvl>
    <w:lvl w:ilvl="3" w:tplc="6D6E9170">
      <w:start w:val="1"/>
      <w:numFmt w:val="bullet"/>
      <w:lvlText w:val=""/>
      <w:lvlJc w:val="left"/>
      <w:pPr>
        <w:tabs>
          <w:tab w:val="num" w:pos="2880"/>
        </w:tabs>
        <w:ind w:left="2880" w:hanging="360"/>
      </w:pPr>
      <w:rPr>
        <w:rFonts w:ascii="Symbol" w:hAnsi="Symbol"/>
      </w:rPr>
    </w:lvl>
    <w:lvl w:ilvl="4" w:tplc="E098ACA6">
      <w:start w:val="1"/>
      <w:numFmt w:val="bullet"/>
      <w:lvlText w:val="o"/>
      <w:lvlJc w:val="left"/>
      <w:pPr>
        <w:tabs>
          <w:tab w:val="num" w:pos="3600"/>
        </w:tabs>
        <w:ind w:left="3600" w:hanging="360"/>
      </w:pPr>
      <w:rPr>
        <w:rFonts w:ascii="Courier New" w:hAnsi="Courier New"/>
      </w:rPr>
    </w:lvl>
    <w:lvl w:ilvl="5" w:tplc="F81E4EF2">
      <w:start w:val="1"/>
      <w:numFmt w:val="bullet"/>
      <w:lvlText w:val=""/>
      <w:lvlJc w:val="left"/>
      <w:pPr>
        <w:tabs>
          <w:tab w:val="num" w:pos="4320"/>
        </w:tabs>
        <w:ind w:left="4320" w:hanging="360"/>
      </w:pPr>
      <w:rPr>
        <w:rFonts w:ascii="Wingdings" w:hAnsi="Wingdings"/>
      </w:rPr>
    </w:lvl>
    <w:lvl w:ilvl="6" w:tplc="1968E91E">
      <w:start w:val="1"/>
      <w:numFmt w:val="bullet"/>
      <w:lvlText w:val=""/>
      <w:lvlJc w:val="left"/>
      <w:pPr>
        <w:tabs>
          <w:tab w:val="num" w:pos="5040"/>
        </w:tabs>
        <w:ind w:left="5040" w:hanging="360"/>
      </w:pPr>
      <w:rPr>
        <w:rFonts w:ascii="Symbol" w:hAnsi="Symbol"/>
      </w:rPr>
    </w:lvl>
    <w:lvl w:ilvl="7" w:tplc="A128F996">
      <w:start w:val="1"/>
      <w:numFmt w:val="bullet"/>
      <w:lvlText w:val="o"/>
      <w:lvlJc w:val="left"/>
      <w:pPr>
        <w:tabs>
          <w:tab w:val="num" w:pos="5760"/>
        </w:tabs>
        <w:ind w:left="5760" w:hanging="360"/>
      </w:pPr>
      <w:rPr>
        <w:rFonts w:ascii="Courier New" w:hAnsi="Courier New"/>
      </w:rPr>
    </w:lvl>
    <w:lvl w:ilvl="8" w:tplc="B5BEF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8A52E010">
      <w:start w:val="1"/>
      <w:numFmt w:val="bullet"/>
      <w:lvlText w:val="•"/>
      <w:lvlJc w:val="left"/>
      <w:pPr>
        <w:tabs>
          <w:tab w:val="num" w:pos="360"/>
        </w:tabs>
        <w:ind w:left="720" w:hanging="360"/>
      </w:pPr>
      <w:rPr>
        <w:rFonts w:ascii="Arial" w:eastAsia="Arial" w:hAnsi="Arial" w:cs="Arial"/>
        <w:b w:val="0"/>
        <w:i w:val="0"/>
        <w:strike w:val="0"/>
        <w:sz w:val="22"/>
      </w:rPr>
    </w:lvl>
    <w:lvl w:ilvl="1" w:tplc="55C27F92">
      <w:start w:val="1"/>
      <w:numFmt w:val="bullet"/>
      <w:lvlText w:val="o"/>
      <w:lvlJc w:val="left"/>
      <w:pPr>
        <w:tabs>
          <w:tab w:val="num" w:pos="1440"/>
        </w:tabs>
        <w:ind w:left="1440" w:hanging="360"/>
      </w:pPr>
      <w:rPr>
        <w:rFonts w:ascii="Courier New" w:hAnsi="Courier New"/>
      </w:rPr>
    </w:lvl>
    <w:lvl w:ilvl="2" w:tplc="A24EF922">
      <w:start w:val="1"/>
      <w:numFmt w:val="bullet"/>
      <w:lvlText w:val=""/>
      <w:lvlJc w:val="left"/>
      <w:pPr>
        <w:tabs>
          <w:tab w:val="num" w:pos="2160"/>
        </w:tabs>
        <w:ind w:left="2160" w:hanging="360"/>
      </w:pPr>
      <w:rPr>
        <w:rFonts w:ascii="Wingdings" w:hAnsi="Wingdings"/>
      </w:rPr>
    </w:lvl>
    <w:lvl w:ilvl="3" w:tplc="4AFE897A">
      <w:start w:val="1"/>
      <w:numFmt w:val="bullet"/>
      <w:lvlText w:val=""/>
      <w:lvlJc w:val="left"/>
      <w:pPr>
        <w:tabs>
          <w:tab w:val="num" w:pos="2880"/>
        </w:tabs>
        <w:ind w:left="2880" w:hanging="360"/>
      </w:pPr>
      <w:rPr>
        <w:rFonts w:ascii="Symbol" w:hAnsi="Symbol"/>
      </w:rPr>
    </w:lvl>
    <w:lvl w:ilvl="4" w:tplc="90F487BC">
      <w:start w:val="1"/>
      <w:numFmt w:val="bullet"/>
      <w:lvlText w:val="o"/>
      <w:lvlJc w:val="left"/>
      <w:pPr>
        <w:tabs>
          <w:tab w:val="num" w:pos="3600"/>
        </w:tabs>
        <w:ind w:left="3600" w:hanging="360"/>
      </w:pPr>
      <w:rPr>
        <w:rFonts w:ascii="Courier New" w:hAnsi="Courier New"/>
      </w:rPr>
    </w:lvl>
    <w:lvl w:ilvl="5" w:tplc="B3DC6B4C">
      <w:start w:val="1"/>
      <w:numFmt w:val="bullet"/>
      <w:lvlText w:val=""/>
      <w:lvlJc w:val="left"/>
      <w:pPr>
        <w:tabs>
          <w:tab w:val="num" w:pos="4320"/>
        </w:tabs>
        <w:ind w:left="4320" w:hanging="360"/>
      </w:pPr>
      <w:rPr>
        <w:rFonts w:ascii="Wingdings" w:hAnsi="Wingdings"/>
      </w:rPr>
    </w:lvl>
    <w:lvl w:ilvl="6" w:tplc="C696E172">
      <w:start w:val="1"/>
      <w:numFmt w:val="bullet"/>
      <w:lvlText w:val=""/>
      <w:lvlJc w:val="left"/>
      <w:pPr>
        <w:tabs>
          <w:tab w:val="num" w:pos="5040"/>
        </w:tabs>
        <w:ind w:left="5040" w:hanging="360"/>
      </w:pPr>
      <w:rPr>
        <w:rFonts w:ascii="Symbol" w:hAnsi="Symbol"/>
      </w:rPr>
    </w:lvl>
    <w:lvl w:ilvl="7" w:tplc="7C8ECF88">
      <w:start w:val="1"/>
      <w:numFmt w:val="bullet"/>
      <w:lvlText w:val="o"/>
      <w:lvlJc w:val="left"/>
      <w:pPr>
        <w:tabs>
          <w:tab w:val="num" w:pos="5760"/>
        </w:tabs>
        <w:ind w:left="5760" w:hanging="360"/>
      </w:pPr>
      <w:rPr>
        <w:rFonts w:ascii="Courier New" w:hAnsi="Courier New"/>
      </w:rPr>
    </w:lvl>
    <w:lvl w:ilvl="8" w:tplc="4D8C8B26">
      <w:start w:val="1"/>
      <w:numFmt w:val="bullet"/>
      <w:lvlText w:val=""/>
      <w:lvlJc w:val="left"/>
      <w:pPr>
        <w:tabs>
          <w:tab w:val="num" w:pos="6480"/>
        </w:tabs>
        <w:ind w:left="6480" w:hanging="360"/>
      </w:pPr>
      <w:rPr>
        <w:rFonts w:ascii="Wingdings" w:hAnsi="Wingdings"/>
      </w:rPr>
    </w:lvl>
  </w:abstractNum>
  <w:num w:numId="1" w16cid:durableId="791095361">
    <w:abstractNumId w:val="0"/>
  </w:num>
  <w:num w:numId="2" w16cid:durableId="918635521">
    <w:abstractNumId w:val="1"/>
  </w:num>
  <w:num w:numId="3" w16cid:durableId="1051728406">
    <w:abstractNumId w:val="2"/>
  </w:num>
  <w:num w:numId="4" w16cid:durableId="379015791">
    <w:abstractNumId w:val="3"/>
  </w:num>
  <w:num w:numId="5" w16cid:durableId="1610507647">
    <w:abstractNumId w:val="4"/>
  </w:num>
  <w:num w:numId="6" w16cid:durableId="950042458">
    <w:abstractNumId w:val="5"/>
  </w:num>
  <w:num w:numId="7" w16cid:durableId="25377710">
    <w:abstractNumId w:val="6"/>
  </w:num>
  <w:num w:numId="8" w16cid:durableId="1924952130">
    <w:abstractNumId w:val="7"/>
  </w:num>
  <w:num w:numId="9" w16cid:durableId="275529976">
    <w:abstractNumId w:val="8"/>
  </w:num>
  <w:num w:numId="10" w16cid:durableId="2137218586">
    <w:abstractNumId w:val="9"/>
  </w:num>
  <w:num w:numId="11" w16cid:durableId="407308721">
    <w:abstractNumId w:val="10"/>
  </w:num>
  <w:num w:numId="12" w16cid:durableId="1322152344">
    <w:abstractNumId w:val="11"/>
  </w:num>
  <w:num w:numId="13" w16cid:durableId="1453406285">
    <w:abstractNumId w:val="12"/>
  </w:num>
  <w:num w:numId="14" w16cid:durableId="225576966">
    <w:abstractNumId w:val="13"/>
  </w:num>
  <w:num w:numId="15" w16cid:durableId="19867799">
    <w:abstractNumId w:val="14"/>
  </w:num>
  <w:num w:numId="16" w16cid:durableId="1294482431">
    <w:abstractNumId w:val="15"/>
  </w:num>
  <w:num w:numId="17" w16cid:durableId="1974361665">
    <w:abstractNumId w:val="16"/>
  </w:num>
  <w:num w:numId="18" w16cid:durableId="1413240465">
    <w:abstractNumId w:val="17"/>
  </w:num>
  <w:num w:numId="19" w16cid:durableId="202642005">
    <w:abstractNumId w:val="18"/>
  </w:num>
  <w:num w:numId="20" w16cid:durableId="983243896">
    <w:abstractNumId w:val="19"/>
  </w:num>
  <w:num w:numId="21" w16cid:durableId="1239512984">
    <w:abstractNumId w:val="20"/>
  </w:num>
  <w:num w:numId="22" w16cid:durableId="380135739">
    <w:abstractNumId w:val="21"/>
  </w:num>
  <w:num w:numId="23" w16cid:durableId="493493997">
    <w:abstractNumId w:val="22"/>
  </w:num>
  <w:num w:numId="24" w16cid:durableId="1459685024">
    <w:abstractNumId w:val="23"/>
  </w:num>
  <w:num w:numId="25" w16cid:durableId="274141573">
    <w:abstractNumId w:val="24"/>
  </w:num>
  <w:num w:numId="26" w16cid:durableId="1440366927">
    <w:abstractNumId w:val="25"/>
  </w:num>
  <w:num w:numId="27" w16cid:durableId="10995946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E2592"/>
    <w:rsid w:val="006E60EE"/>
    <w:rsid w:val="00A77B3E"/>
    <w:rsid w:val="00CA2A55"/>
    <w:rsid w:val="00CD06A6"/>
    <w:rsid w:val="00E9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030FE"/>
  <w15:docId w15:val="{0BEB16E9-EE7B-4464-BC7E-86B81678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 w:type="numbering" w:customStyle="1" w:styleId="outlinearabic">
    <w:name w:val="outline.arabic"/>
    <w:pPr>
      <w:numPr>
        <w:numId w:val="13"/>
      </w:numPr>
    </w:pPr>
  </w:style>
  <w:style w:type="character" w:styleId="Hyperlink">
    <w:name w:val="Hyperlink"/>
    <w:basedOn w:val="DefaultParagraphFont"/>
    <w:rsid w:val="00E936C3"/>
    <w:rPr>
      <w:color w:val="0000FF" w:themeColor="hyperlink"/>
      <w:u w:val="single"/>
    </w:rPr>
  </w:style>
  <w:style w:type="character" w:styleId="UnresolvedMention">
    <w:name w:val="Unresolved Mention"/>
    <w:basedOn w:val="DefaultParagraphFont"/>
    <w:uiPriority w:val="99"/>
    <w:semiHidden/>
    <w:unhideWhenUsed/>
    <w:rsid w:val="00E936C3"/>
    <w:rPr>
      <w:color w:val="605E5C"/>
      <w:shd w:val="clear" w:color="auto" w:fill="E1DFDD"/>
    </w:rPr>
  </w:style>
  <w:style w:type="character" w:styleId="FollowedHyperlink">
    <w:name w:val="FollowedHyperlink"/>
    <w:basedOn w:val="DefaultParagraphFont"/>
    <w:rsid w:val="00E93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webinar.net/PYADonJoOr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e548e-400f-43a2-92ba-fd3455785493" xsi:nil="true"/>
    <lcf76f155ced4ddcb4097134ff3c332f xmlns="13ab4ff3-e9fe-4cb0-b4bc-d92001489129">
      <Terms xmlns="http://schemas.microsoft.com/office/infopath/2007/PartnerControls"/>
    </lcf76f155ced4ddcb4097134ff3c332f>
    <SharedWithUsers xmlns="7dde548e-400f-43a2-92ba-fd3455785493">
      <UserInfo>
        <DisplayName>Jon Levine</DisplayName>
        <AccountId>16</AccountId>
        <AccountType/>
      </UserInfo>
      <UserInfo>
        <DisplayName>Rene Gulliver</DisplayName>
        <AccountId>25</AccountId>
        <AccountType/>
      </UserInfo>
      <UserInfo>
        <DisplayName>Howard Schacter</DisplayName>
        <AccountId>26</AccountId>
        <AccountType/>
      </UserInfo>
      <UserInfo>
        <DisplayName>Mike Bosia</DisplayName>
        <AccountId>88</AccountId>
        <AccountType/>
      </UserInfo>
      <UserInfo>
        <DisplayName>Lynne Wade</DisplayName>
        <AccountId>82</AccountId>
        <AccountType/>
      </UserInfo>
      <UserInfo>
        <DisplayName>Yves Anidjar</DisplayName>
        <AccountId>18</AccountId>
        <AccountType/>
      </UserInfo>
      <UserInfo>
        <DisplayName>Steve West</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CE9113EEC97439270329F4E9E566F" ma:contentTypeVersion="18" ma:contentTypeDescription="Create a new document." ma:contentTypeScope="" ma:versionID="bba3993b50c93eb0550be0c991278e1a">
  <xsd:schema xmlns:xsd="http://www.w3.org/2001/XMLSchema" xmlns:xs="http://www.w3.org/2001/XMLSchema" xmlns:p="http://schemas.microsoft.com/office/2006/metadata/properties" xmlns:ns2="7dde548e-400f-43a2-92ba-fd3455785493" xmlns:ns3="13ab4ff3-e9fe-4cb0-b4bc-d92001489129" targetNamespace="http://schemas.microsoft.com/office/2006/metadata/properties" ma:root="true" ma:fieldsID="ec525b40996761c2a0e150cd40da96fb" ns2:_="" ns3:_="">
    <xsd:import namespace="7dde548e-400f-43a2-92ba-fd3455785493"/>
    <xsd:import namespace="13ab4ff3-e9fe-4cb0-b4bc-d92001489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e548e-400f-43a2-92ba-fd345578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1252fe-6170-4f42-9c52-191eb28f33bb}" ma:internalName="TaxCatchAll" ma:showField="CatchAllData" ma:web="7dde548e-400f-43a2-92ba-fd34557854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ab4ff3-e9fe-4cb0-b4bc-d92001489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CB956-7BD0-4722-8617-A5EC79D78311}">
  <ds:schemaRefs>
    <ds:schemaRef ds:uri="http://schemas.microsoft.com/office/2006/metadata/properties"/>
    <ds:schemaRef ds:uri="http://schemas.microsoft.com/office/infopath/2007/PartnerControls"/>
    <ds:schemaRef ds:uri="7dde548e-400f-43a2-92ba-fd3455785493"/>
    <ds:schemaRef ds:uri="13ab4ff3-e9fe-4cb0-b4bc-d92001489129"/>
  </ds:schemaRefs>
</ds:datastoreItem>
</file>

<file path=customXml/itemProps2.xml><?xml version="1.0" encoding="utf-8"?>
<ds:datastoreItem xmlns:ds="http://schemas.openxmlformats.org/officeDocument/2006/customXml" ds:itemID="{00C7AF10-1EB4-4FD8-AB91-BE85256EF2E4}">
  <ds:schemaRefs>
    <ds:schemaRef ds:uri="http://schemas.microsoft.com/sharepoint/v3/contenttype/forms"/>
  </ds:schemaRefs>
</ds:datastoreItem>
</file>

<file path=customXml/itemProps3.xml><?xml version="1.0" encoding="utf-8"?>
<ds:datastoreItem xmlns:ds="http://schemas.openxmlformats.org/officeDocument/2006/customXml" ds:itemID="{62A27F80-97A8-4974-B724-56089332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e548e-400f-43a2-92ba-fd3455785493"/>
    <ds:schemaRef ds:uri="13ab4ff3-e9fe-4cb0-b4bc-d92001489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Marimed Q1 2024 EX 99.1</dc:title>
  <dc:creator>Steve West</dc:creator>
  <cp:lastModifiedBy>Steve West</cp:lastModifiedBy>
  <cp:revision>3</cp:revision>
  <dcterms:created xsi:type="dcterms:W3CDTF">2024-05-07T22:16:00Z</dcterms:created>
  <dcterms:modified xsi:type="dcterms:W3CDTF">2024-05-08T16:41:00Z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0x010100050CE9113EEC97439270329F4E9E566F</vt:lpwstr>
  </property>
  <property fmtid="{D5CDD505-2E9C-101B-9397-08002B2CF9AE}" pid="3" name="MediaServiceImageTags">
    <vt:lpwstr/>
  </property>
</Properties>
</file>